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46" w:rsidRDefault="00387F46">
      <w:pPr>
        <w:pStyle w:val="Corpsdetexte"/>
        <w:ind w:left="0"/>
        <w:jc w:val="left"/>
        <w:rPr>
          <w:rFonts w:ascii="Times New Roman"/>
          <w:sz w:val="20"/>
        </w:rPr>
      </w:pPr>
    </w:p>
    <w:p w:rsidR="00387F46" w:rsidRDefault="00387F46">
      <w:pPr>
        <w:pStyle w:val="Corpsdetexte"/>
        <w:spacing w:before="8"/>
        <w:ind w:left="0"/>
        <w:jc w:val="left"/>
        <w:rPr>
          <w:rFonts w:ascii="Times New Roman"/>
          <w:sz w:val="23"/>
        </w:rPr>
      </w:pPr>
    </w:p>
    <w:p w:rsidR="00387F46" w:rsidRDefault="00977482">
      <w:pPr>
        <w:pStyle w:val="Titre"/>
        <w:rPr>
          <w:color w:val="1F91C6"/>
        </w:rPr>
      </w:pPr>
      <w:r>
        <w:rPr>
          <w:color w:val="1F91C6"/>
        </w:rPr>
        <w:t>Check</w:t>
      </w:r>
      <w:r>
        <w:rPr>
          <w:color w:val="1F91C6"/>
          <w:spacing w:val="-1"/>
        </w:rPr>
        <w:t xml:space="preserve"> </w:t>
      </w:r>
      <w:r>
        <w:rPr>
          <w:color w:val="1F91C6"/>
        </w:rPr>
        <w:t>List :</w:t>
      </w:r>
      <w:r>
        <w:rPr>
          <w:color w:val="1F91C6"/>
          <w:spacing w:val="-3"/>
        </w:rPr>
        <w:t xml:space="preserve"> </w:t>
      </w:r>
      <w:r>
        <w:rPr>
          <w:color w:val="1F91C6"/>
        </w:rPr>
        <w:t>« Intégration</w:t>
      </w:r>
      <w:r>
        <w:rPr>
          <w:color w:val="1F91C6"/>
          <w:spacing w:val="-4"/>
        </w:rPr>
        <w:t xml:space="preserve"> </w:t>
      </w:r>
      <w:r w:rsidR="00570314">
        <w:rPr>
          <w:color w:val="1F91C6"/>
          <w:spacing w:val="-4"/>
        </w:rPr>
        <w:t xml:space="preserve">de la balance </w:t>
      </w:r>
      <w:r>
        <w:rPr>
          <w:color w:val="1F91C6"/>
        </w:rPr>
        <w:t>et saisie</w:t>
      </w:r>
      <w:r>
        <w:rPr>
          <w:color w:val="1F91C6"/>
          <w:spacing w:val="2"/>
        </w:rPr>
        <w:t xml:space="preserve"> </w:t>
      </w:r>
      <w:r>
        <w:rPr>
          <w:color w:val="1F91C6"/>
        </w:rPr>
        <w:t>des données</w:t>
      </w:r>
      <w:r>
        <w:rPr>
          <w:color w:val="1F91C6"/>
          <w:spacing w:val="-1"/>
        </w:rPr>
        <w:t xml:space="preserve"> </w:t>
      </w:r>
      <w:r>
        <w:rPr>
          <w:color w:val="1F91C6"/>
        </w:rPr>
        <w:t>»</w:t>
      </w:r>
    </w:p>
    <w:p w:rsidR="00C255F6" w:rsidRDefault="00C255F6">
      <w:pPr>
        <w:pStyle w:val="Titre"/>
        <w:rPr>
          <w:color w:val="1F91C6"/>
        </w:rPr>
      </w:pPr>
    </w:p>
    <w:p w:rsidR="00C255F6" w:rsidRDefault="00C255F6">
      <w:pPr>
        <w:pStyle w:val="Titre"/>
        <w:rPr>
          <w:color w:val="1F91C6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724534</wp:posOffset>
            </wp:positionH>
            <wp:positionV relativeFrom="paragraph">
              <wp:posOffset>115570</wp:posOffset>
            </wp:positionV>
            <wp:extent cx="457200" cy="457199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5F6" w:rsidRPr="00C255F6" w:rsidRDefault="00C255F6" w:rsidP="00C255F6">
      <w:pPr>
        <w:spacing w:line="276" w:lineRule="auto"/>
        <w:ind w:left="774" w:firstLine="666"/>
        <w:rPr>
          <w:rFonts w:ascii="Arial" w:hAnsi="Arial"/>
          <w:b/>
          <w:color w:val="00B0F0"/>
        </w:rPr>
      </w:pPr>
      <w:r w:rsidRPr="00C255F6">
        <w:rPr>
          <w:rFonts w:ascii="Arial" w:hAnsi="Arial"/>
          <w:b/>
          <w:color w:val="00B0F0"/>
        </w:rPr>
        <w:t xml:space="preserve">Check </w:t>
      </w:r>
      <w:proofErr w:type="spellStart"/>
      <w:r w:rsidRPr="00C255F6">
        <w:rPr>
          <w:rFonts w:ascii="Arial" w:hAnsi="Arial"/>
          <w:b/>
          <w:color w:val="00B0F0"/>
        </w:rPr>
        <w:t>list</w:t>
      </w:r>
      <w:proofErr w:type="spellEnd"/>
      <w:r w:rsidRPr="00C255F6">
        <w:rPr>
          <w:rFonts w:ascii="Arial" w:hAnsi="Arial"/>
          <w:b/>
          <w:color w:val="00B0F0"/>
        </w:rPr>
        <w:t xml:space="preserve"> : intégration de la balance </w:t>
      </w:r>
    </w:p>
    <w:p w:rsidR="00387F46" w:rsidRDefault="00387F46">
      <w:pPr>
        <w:pStyle w:val="Corpsdetexte"/>
        <w:spacing w:before="3"/>
        <w:ind w:left="0"/>
        <w:jc w:val="left"/>
        <w:rPr>
          <w:rFonts w:ascii="Arial"/>
          <w:b/>
          <w:sz w:val="24"/>
        </w:rPr>
      </w:pPr>
    </w:p>
    <w:p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Se</w:t>
      </w:r>
      <w:r w:rsidRPr="00C255F6">
        <w:rPr>
          <w:rFonts w:asciiTheme="minorHAnsi" w:hAnsiTheme="minorHAnsi" w:cstheme="minorHAnsi"/>
          <w:color w:val="4D445D"/>
          <w:spacing w:val="-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référer</w:t>
      </w:r>
      <w:r w:rsidRPr="00C255F6">
        <w:rPr>
          <w:rFonts w:asciiTheme="minorHAnsi" w:hAnsiTheme="minorHAnsi" w:cstheme="minorHAnsi"/>
          <w:color w:val="4D445D"/>
          <w:spacing w:val="-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au</w:t>
      </w:r>
      <w:r w:rsidRPr="00C255F6">
        <w:rPr>
          <w:rFonts w:asciiTheme="minorHAnsi" w:hAnsiTheme="minorHAnsi" w:cstheme="minorHAnsi"/>
          <w:color w:val="4D445D"/>
          <w:spacing w:val="-1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format</w:t>
      </w:r>
      <w:r w:rsidRPr="00C255F6">
        <w:rPr>
          <w:rFonts w:asciiTheme="minorHAnsi" w:hAnsiTheme="minorHAnsi" w:cstheme="minorHAnsi"/>
          <w:color w:val="4D445D"/>
          <w:spacing w:val="-9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-9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balance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attendue,</w:t>
      </w:r>
      <w:r w:rsidRPr="00C255F6">
        <w:rPr>
          <w:rFonts w:asciiTheme="minorHAnsi" w:hAnsiTheme="minorHAnsi" w:cstheme="minorHAnsi"/>
          <w:color w:val="4D445D"/>
          <w:spacing w:val="-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disponible</w:t>
      </w:r>
      <w:r w:rsidRPr="00C255F6">
        <w:rPr>
          <w:rFonts w:asciiTheme="minorHAnsi" w:hAnsiTheme="minorHAnsi" w:cstheme="minorHAnsi"/>
          <w:color w:val="4D445D"/>
          <w:spacing w:val="-7"/>
        </w:rPr>
        <w:t xml:space="preserve"> </w:t>
      </w:r>
      <w:r w:rsidR="00F06CFD" w:rsidRPr="00C255F6">
        <w:rPr>
          <w:rFonts w:asciiTheme="minorHAnsi" w:hAnsiTheme="minorHAnsi" w:cstheme="minorHAnsi"/>
          <w:color w:val="4D445D"/>
        </w:rPr>
        <w:t>sur la page</w:t>
      </w:r>
      <w:r w:rsidRPr="00C255F6">
        <w:rPr>
          <w:rFonts w:asciiTheme="minorHAnsi" w:hAnsiTheme="minorHAnsi" w:cstheme="minorHAnsi"/>
          <w:color w:val="4D445D"/>
          <w:spacing w:val="-9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documentation</w:t>
      </w:r>
      <w:r w:rsidR="00AC2F59" w:rsidRPr="00C255F6">
        <w:rPr>
          <w:rFonts w:asciiTheme="minorHAnsi" w:hAnsiTheme="minorHAnsi" w:cstheme="minorHAnsi"/>
          <w:color w:val="4D445D"/>
        </w:rPr>
        <w:t xml:space="preserve"> sur le site de l’ATIH</w:t>
      </w:r>
      <w:r w:rsidR="00AC2F59" w:rsidRPr="00C255F6">
        <w:rPr>
          <w:rFonts w:asciiTheme="minorHAnsi" w:hAnsiTheme="minorHAnsi" w:cstheme="minorHAnsi"/>
          <w:color w:val="4D445D"/>
          <w:spacing w:val="-9"/>
        </w:rPr>
        <w:t> :</w:t>
      </w:r>
    </w:p>
    <w:p w:rsidR="00AC2F59" w:rsidRPr="00C255F6" w:rsidRDefault="00176643" w:rsidP="00AC2F59">
      <w:pPr>
        <w:pStyle w:val="Paragraphedeliste"/>
        <w:tabs>
          <w:tab w:val="left" w:pos="1114"/>
        </w:tabs>
        <w:spacing w:line="276" w:lineRule="auto"/>
        <w:ind w:firstLine="0"/>
        <w:rPr>
          <w:rFonts w:asciiTheme="minorHAnsi" w:hAnsiTheme="minorHAnsi" w:cstheme="minorHAnsi"/>
          <w:color w:val="4D445D"/>
        </w:rPr>
      </w:pPr>
      <w:hyperlink r:id="rId6" w:history="1">
        <w:r w:rsidR="00AC2F59" w:rsidRPr="00C255F6">
          <w:rPr>
            <w:rStyle w:val="Lienhypertexte"/>
            <w:rFonts w:asciiTheme="minorHAnsi" w:hAnsiTheme="minorHAnsi" w:cstheme="minorHAnsi"/>
          </w:rPr>
          <w:t>https://www.atih.sante.fr/compte-financier-exercice-2021</w:t>
        </w:r>
      </w:hyperlink>
    </w:p>
    <w:p w:rsidR="002247E8" w:rsidRPr="00C255F6" w:rsidRDefault="002247E8" w:rsidP="00AC2F59">
      <w:pPr>
        <w:pStyle w:val="Paragraphedeliste"/>
        <w:tabs>
          <w:tab w:val="left" w:pos="1114"/>
        </w:tabs>
        <w:spacing w:line="276" w:lineRule="auto"/>
        <w:ind w:firstLine="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b/>
          <w:color w:val="FF0000"/>
        </w:rPr>
        <w:t>PRECISION</w:t>
      </w:r>
      <w:r w:rsidRPr="00C255F6">
        <w:rPr>
          <w:rFonts w:asciiTheme="minorHAnsi" w:hAnsiTheme="minorHAnsi" w:cstheme="minorHAnsi"/>
          <w:color w:val="FF0000"/>
        </w:rPr>
        <w:t> </w:t>
      </w:r>
      <w:r w:rsidRPr="00C255F6">
        <w:rPr>
          <w:rFonts w:asciiTheme="minorHAnsi" w:hAnsiTheme="minorHAnsi" w:cstheme="minorHAnsi"/>
          <w:color w:val="4D445D"/>
        </w:rPr>
        <w:t xml:space="preserve">: </w:t>
      </w:r>
      <w:r w:rsidRPr="00C255F6">
        <w:rPr>
          <w:rFonts w:asciiTheme="minorHAnsi" w:hAnsiTheme="minorHAnsi" w:cstheme="minorHAnsi"/>
          <w:color w:val="FF0000"/>
        </w:rPr>
        <w:t xml:space="preserve">les balances </w:t>
      </w:r>
      <w:r w:rsidR="00DF7DB6" w:rsidRPr="00C255F6">
        <w:rPr>
          <w:rFonts w:asciiTheme="minorHAnsi" w:hAnsiTheme="minorHAnsi" w:cstheme="minorHAnsi"/>
          <w:color w:val="FF0000"/>
        </w:rPr>
        <w:t>attendues sont les balances</w:t>
      </w:r>
      <w:r w:rsidRPr="00C255F6">
        <w:rPr>
          <w:rFonts w:asciiTheme="minorHAnsi" w:hAnsiTheme="minorHAnsi" w:cstheme="minorHAnsi"/>
          <w:color w:val="FF0000"/>
        </w:rPr>
        <w:t xml:space="preserve"> avant affectation du résultat</w:t>
      </w:r>
    </w:p>
    <w:p w:rsidR="00570314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0" w:hanging="361"/>
        <w:jc w:val="left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 données attendues doivent être au format M21</w:t>
      </w:r>
      <w:r w:rsidR="00C30071" w:rsidRPr="00C255F6">
        <w:rPr>
          <w:rFonts w:asciiTheme="minorHAnsi" w:hAnsiTheme="minorHAnsi" w:cstheme="minorHAnsi"/>
          <w:color w:val="4D445D"/>
        </w:rPr>
        <w:t>/plan comptable applicable aux établissements de santé privés</w:t>
      </w:r>
      <w:r w:rsidRPr="00C255F6">
        <w:rPr>
          <w:rFonts w:asciiTheme="minorHAnsi" w:hAnsiTheme="minorHAnsi" w:cstheme="minorHAnsi"/>
          <w:color w:val="4D445D"/>
        </w:rPr>
        <w:t xml:space="preserve"> : les comptes ordonnateurs qui comporteraient </w:t>
      </w:r>
      <w:proofErr w:type="gramStart"/>
      <w:r w:rsidRPr="00C255F6">
        <w:rPr>
          <w:rFonts w:asciiTheme="minorHAnsi" w:hAnsiTheme="minorHAnsi" w:cstheme="minorHAnsi"/>
          <w:color w:val="4D445D"/>
        </w:rPr>
        <w:t>plu</w:t>
      </w:r>
      <w:r w:rsidR="00176643">
        <w:rPr>
          <w:rFonts w:asciiTheme="minorHAnsi" w:hAnsiTheme="minorHAnsi" w:cstheme="minorHAnsi"/>
          <w:color w:val="4D445D"/>
        </w:rPr>
        <w:t xml:space="preserve">s </w:t>
      </w:r>
      <w:r w:rsidRPr="00C255F6">
        <w:rPr>
          <w:rFonts w:asciiTheme="minorHAnsi" w:hAnsiTheme="minorHAnsi" w:cstheme="minorHAnsi"/>
          <w:color w:val="4D445D"/>
          <w:spacing w:val="-45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proofErr w:type="gramEnd"/>
      <w:r w:rsidRPr="00C255F6">
        <w:rPr>
          <w:rFonts w:asciiTheme="minorHAnsi" w:hAnsiTheme="minorHAnsi" w:cstheme="minorHAnsi"/>
          <w:color w:val="4D445D"/>
        </w:rPr>
        <w:t xml:space="preserve"> digits que la M21 ne sont pas admis. Il est obligatoire de rassembler les comptes concernés sur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un niveau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autorisé.</w:t>
      </w:r>
      <w:r w:rsidR="00570314" w:rsidRPr="00C255F6">
        <w:rPr>
          <w:rFonts w:asciiTheme="minorHAnsi" w:hAnsiTheme="minorHAnsi" w:cstheme="minorHAnsi"/>
          <w:color w:val="4D445D"/>
        </w:rPr>
        <w:t xml:space="preserve"> Seuls</w:t>
      </w:r>
      <w:r w:rsidR="00570314"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les comptes</w:t>
      </w:r>
      <w:r w:rsidR="00570314"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M21 sont</w:t>
      </w:r>
      <w:r w:rsidR="00570314" w:rsidRPr="00C255F6">
        <w:rPr>
          <w:rFonts w:asciiTheme="minorHAnsi" w:hAnsiTheme="minorHAnsi" w:cstheme="minorHAnsi"/>
          <w:color w:val="4D445D"/>
          <w:spacing w:val="-5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admissibles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(attention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aux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comptes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d’attente</w:t>
      </w:r>
      <w:r w:rsidR="00570314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qui pourraient exister).</w:t>
      </w:r>
    </w:p>
    <w:p w:rsidR="00A11085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Par ailleurs, le système ne prend pas en compte les lignes avec doublons de numéro de compte. Il est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impératif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veiller</w:t>
      </w:r>
      <w:r w:rsidRPr="00C255F6">
        <w:rPr>
          <w:rFonts w:asciiTheme="minorHAnsi" w:hAnsiTheme="minorHAnsi" w:cstheme="minorHAnsi"/>
          <w:color w:val="4D445D"/>
          <w:spacing w:val="3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à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ce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qu’il</w:t>
      </w:r>
      <w:r w:rsidRPr="00C255F6">
        <w:rPr>
          <w:rFonts w:asciiTheme="minorHAnsi" w:hAnsiTheme="minorHAnsi" w:cstheme="minorHAnsi"/>
          <w:color w:val="4D445D"/>
          <w:spacing w:val="3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n’y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ait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aucun</w:t>
      </w:r>
      <w:r w:rsidRPr="00C255F6">
        <w:rPr>
          <w:rFonts w:asciiTheme="minorHAnsi" w:hAnsiTheme="minorHAnsi" w:cstheme="minorHAnsi"/>
          <w:color w:val="4D445D"/>
          <w:spacing w:val="3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doublon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en</w:t>
      </w:r>
      <w:r w:rsidRPr="00C255F6">
        <w:rPr>
          <w:rFonts w:asciiTheme="minorHAnsi" w:hAnsiTheme="minorHAnsi" w:cstheme="minorHAnsi"/>
          <w:color w:val="4D445D"/>
          <w:spacing w:val="3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sommant</w:t>
      </w:r>
      <w:r w:rsidRPr="00C255F6">
        <w:rPr>
          <w:rFonts w:asciiTheme="minorHAnsi" w:hAnsiTheme="minorHAnsi" w:cstheme="minorHAnsi"/>
          <w:color w:val="4D445D"/>
          <w:spacing w:val="3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cas</w:t>
      </w:r>
      <w:r w:rsidRPr="00C255F6">
        <w:rPr>
          <w:rFonts w:asciiTheme="minorHAnsi" w:hAnsiTheme="minorHAnsi" w:cstheme="minorHAnsi"/>
          <w:color w:val="4D445D"/>
          <w:spacing w:val="27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échéant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les</w:t>
      </w:r>
      <w:r w:rsidRPr="00C255F6">
        <w:rPr>
          <w:rFonts w:asciiTheme="minorHAnsi" w:hAnsiTheme="minorHAnsi" w:cstheme="minorHAnsi"/>
          <w:color w:val="4D445D"/>
          <w:spacing w:val="29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colonnes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2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ces</w:t>
      </w:r>
      <w:r w:rsidR="00AC2F59" w:rsidRPr="00C255F6">
        <w:rPr>
          <w:rFonts w:asciiTheme="minorHAnsi" w:hAnsiTheme="minorHAnsi" w:cstheme="minorHAnsi"/>
          <w:color w:val="4D445D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comptes et en affectant le solde au débit/</w:t>
      </w:r>
      <w:r w:rsidR="008B592D">
        <w:rPr>
          <w:rFonts w:asciiTheme="minorHAnsi" w:hAnsiTheme="minorHAnsi" w:cstheme="minorHAnsi"/>
          <w:color w:val="4D445D"/>
        </w:rPr>
        <w:t>c</w:t>
      </w:r>
      <w:r w:rsidRPr="00C255F6">
        <w:rPr>
          <w:rFonts w:asciiTheme="minorHAnsi" w:hAnsiTheme="minorHAnsi" w:cstheme="minorHAnsi"/>
          <w:color w:val="4D445D"/>
        </w:rPr>
        <w:t xml:space="preserve">rédit. </w:t>
      </w:r>
    </w:p>
    <w:p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 budgets E1, E2 ne sont pas autorisés : ils doivent être fusionné sous la lettre E sans doublon.</w:t>
      </w:r>
    </w:p>
    <w:p w:rsidR="00387F46" w:rsidRPr="00C255F6" w:rsidRDefault="00977482" w:rsidP="00AC2F59">
      <w:pPr>
        <w:pStyle w:val="Corpsdetexte"/>
        <w:numPr>
          <w:ilvl w:val="0"/>
          <w:numId w:val="1"/>
        </w:numPr>
        <w:spacing w:before="40" w:line="276" w:lineRule="auto"/>
        <w:ind w:right="110"/>
        <w:rPr>
          <w:rFonts w:asciiTheme="minorHAnsi" w:hAnsiTheme="minorHAnsi" w:cstheme="minorHAnsi"/>
          <w:sz w:val="22"/>
        </w:rPr>
      </w:pPr>
      <w:r w:rsidRPr="00C255F6">
        <w:rPr>
          <w:rFonts w:asciiTheme="minorHAnsi" w:hAnsiTheme="minorHAnsi" w:cstheme="minorHAnsi"/>
          <w:color w:val="4D445D"/>
          <w:sz w:val="22"/>
        </w:rPr>
        <w:t xml:space="preserve">Pour les comptes de classe 1, 2 et 5 la lettre </w:t>
      </w:r>
      <w:r w:rsidR="00201933" w:rsidRPr="00C255F6">
        <w:rPr>
          <w:rFonts w:asciiTheme="minorHAnsi" w:hAnsiTheme="minorHAnsi" w:cstheme="minorHAnsi"/>
          <w:color w:val="4D445D"/>
          <w:sz w:val="22"/>
        </w:rPr>
        <w:t>budgétaire n’est</w:t>
      </w:r>
      <w:r w:rsidRPr="00C255F6">
        <w:rPr>
          <w:rFonts w:asciiTheme="minorHAnsi" w:hAnsiTheme="minorHAnsi" w:cstheme="minorHAnsi"/>
          <w:color w:val="4D445D"/>
          <w:sz w:val="22"/>
        </w:rPr>
        <w:t xml:space="preserve"> pas attendue.</w:t>
      </w:r>
    </w:p>
    <w:p w:rsidR="00387F46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Si</w:t>
      </w:r>
      <w:r w:rsidR="00977482" w:rsidRPr="00C255F6">
        <w:rPr>
          <w:rFonts w:asciiTheme="minorHAnsi" w:hAnsiTheme="minorHAnsi" w:cstheme="minorHAnsi"/>
          <w:color w:val="4D445D"/>
        </w:rPr>
        <w:t xml:space="preserve"> vous devez modifier les informations issues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vos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balances,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meilleure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pratique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pour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assurer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cohérence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données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est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réaliser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ajustements</w:t>
      </w:r>
      <w:r w:rsidR="00977482"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dans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votre balance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puis</w:t>
      </w:r>
      <w:r w:rsidR="00977482"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 les</w:t>
      </w:r>
      <w:r w:rsidR="00977482"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importer dans</w:t>
      </w:r>
      <w:r w:rsidR="00977482"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="00570314" w:rsidRPr="00C255F6">
        <w:rPr>
          <w:rFonts w:asciiTheme="minorHAnsi" w:hAnsiTheme="minorHAnsi" w:cstheme="minorHAnsi"/>
          <w:color w:val="4D445D"/>
        </w:rPr>
        <w:t>ANCRE</w:t>
      </w:r>
      <w:r w:rsidR="00977482" w:rsidRPr="00C255F6">
        <w:rPr>
          <w:rFonts w:asciiTheme="minorHAnsi" w:hAnsiTheme="minorHAnsi" w:cstheme="minorHAnsi"/>
          <w:color w:val="4D445D"/>
        </w:rPr>
        <w:t>.</w:t>
      </w:r>
    </w:p>
    <w:p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ind w:right="110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Ne pas oublier les comptes de liaison des budgets annexes et du budget H.</w:t>
      </w:r>
    </w:p>
    <w:p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Aucun montant ne doit être inférieur à zéro. Si un montant est présent en négatif au débit de votre balance, mettez au crédit avec un signe positif ou </w:t>
      </w:r>
      <w:proofErr w:type="spellStart"/>
      <w:r w:rsidRPr="00C255F6">
        <w:rPr>
          <w:rFonts w:asciiTheme="minorHAnsi" w:hAnsiTheme="minorHAnsi" w:cstheme="minorHAnsi"/>
          <w:color w:val="4D445D"/>
        </w:rPr>
        <w:t>netter</w:t>
      </w:r>
      <w:proofErr w:type="spellEnd"/>
      <w:r w:rsidRPr="00C255F6">
        <w:rPr>
          <w:rFonts w:asciiTheme="minorHAnsi" w:hAnsiTheme="minorHAnsi" w:cstheme="minorHAnsi"/>
          <w:color w:val="4D445D"/>
        </w:rPr>
        <w:t xml:space="preserve"> le sur un compte de même titre.</w:t>
      </w:r>
    </w:p>
    <w:p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Tous les mouvements et totaux doivent être saisis et pas uniquement les soldes des comptes.</w:t>
      </w:r>
    </w:p>
    <w:p w:rsidR="00C30071" w:rsidRPr="00C255F6" w:rsidRDefault="00C30071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10" w:line="276" w:lineRule="auto"/>
        <w:ind w:right="10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 remplissage par sections tarifaires peut se faire par import (on remplacera la lettre E par E_HEB, E_SOI, E_DEP par exemple), ou en saisie sur Excel. Le montant global se recalculera automatiquement dans le cadre réglementaire si « sections tarifaires » a été coché dans le paramétrage, il n’est donc pas utile de l’importer.</w:t>
      </w:r>
    </w:p>
    <w:p w:rsidR="00387F46" w:rsidRPr="00AC2F59" w:rsidRDefault="00C255F6" w:rsidP="00AC2F59">
      <w:pPr>
        <w:pStyle w:val="Corpsdetexte"/>
        <w:spacing w:line="276" w:lineRule="auto"/>
        <w:ind w:left="0"/>
        <w:jc w:val="left"/>
        <w:rPr>
          <w:sz w:val="32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69D78364" wp14:editId="0BD895A2">
            <wp:simplePos x="0" y="0"/>
            <wp:positionH relativeFrom="page">
              <wp:posOffset>724534</wp:posOffset>
            </wp:positionH>
            <wp:positionV relativeFrom="paragraph">
              <wp:posOffset>153035</wp:posOffset>
            </wp:positionV>
            <wp:extent cx="457200" cy="457199"/>
            <wp:effectExtent l="0" t="0" r="0" b="0"/>
            <wp:wrapNone/>
            <wp:docPr id="2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5F6" w:rsidRDefault="00977482" w:rsidP="00C255F6">
      <w:pPr>
        <w:spacing w:line="276" w:lineRule="auto"/>
        <w:ind w:left="786" w:firstLine="654"/>
        <w:rPr>
          <w:rFonts w:ascii="Arial" w:hAnsi="Arial"/>
          <w:b/>
          <w:color w:val="00B0F0"/>
        </w:rPr>
      </w:pPr>
      <w:r w:rsidRPr="00C255F6">
        <w:rPr>
          <w:rFonts w:ascii="Arial" w:hAnsi="Arial"/>
          <w:b/>
          <w:color w:val="00B0F0"/>
        </w:rPr>
        <w:t>Check-List</w:t>
      </w:r>
      <w:r w:rsidRPr="00C255F6">
        <w:rPr>
          <w:rFonts w:ascii="Arial" w:hAnsi="Arial"/>
          <w:b/>
          <w:color w:val="00B0F0"/>
          <w:spacing w:val="-3"/>
        </w:rPr>
        <w:t xml:space="preserve"> </w:t>
      </w:r>
      <w:r w:rsidRPr="00C255F6">
        <w:rPr>
          <w:rFonts w:ascii="Arial" w:hAnsi="Arial"/>
          <w:b/>
          <w:color w:val="00B0F0"/>
        </w:rPr>
        <w:t>pour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une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bonne</w:t>
      </w:r>
      <w:r w:rsidRPr="00C255F6">
        <w:rPr>
          <w:rFonts w:ascii="Arial" w:hAnsi="Arial"/>
          <w:b/>
          <w:color w:val="00B0F0"/>
          <w:spacing w:val="-4"/>
        </w:rPr>
        <w:t xml:space="preserve"> </w:t>
      </w:r>
      <w:r w:rsidRPr="00C255F6">
        <w:rPr>
          <w:rFonts w:ascii="Arial" w:hAnsi="Arial"/>
          <w:b/>
          <w:color w:val="00B0F0"/>
        </w:rPr>
        <w:t>saisie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des</w:t>
      </w:r>
      <w:r w:rsidRPr="00C255F6">
        <w:rPr>
          <w:rFonts w:ascii="Arial" w:hAnsi="Arial"/>
          <w:b/>
          <w:color w:val="00B0F0"/>
          <w:spacing w:val="-2"/>
        </w:rPr>
        <w:t xml:space="preserve"> </w:t>
      </w:r>
      <w:r w:rsidRPr="00C255F6">
        <w:rPr>
          <w:rFonts w:ascii="Arial" w:hAnsi="Arial"/>
          <w:b/>
          <w:color w:val="00B0F0"/>
        </w:rPr>
        <w:t>données</w:t>
      </w:r>
      <w:r w:rsidR="00C255F6">
        <w:rPr>
          <w:rFonts w:ascii="Arial" w:hAnsi="Arial"/>
          <w:b/>
          <w:color w:val="00B0F0"/>
        </w:rPr>
        <w:t xml:space="preserve"> </w:t>
      </w:r>
    </w:p>
    <w:p w:rsidR="00387F46" w:rsidRPr="00C255F6" w:rsidRDefault="00977482" w:rsidP="00C255F6">
      <w:pPr>
        <w:spacing w:line="276" w:lineRule="auto"/>
        <w:ind w:left="786" w:firstLine="654"/>
        <w:rPr>
          <w:rFonts w:ascii="Arial" w:hAnsi="Arial"/>
          <w:b/>
          <w:i/>
          <w:color w:val="00B0F0"/>
        </w:rPr>
      </w:pPr>
      <w:r w:rsidRPr="00C255F6">
        <w:rPr>
          <w:rFonts w:asciiTheme="minorHAnsi" w:hAnsiTheme="minorHAnsi" w:cstheme="minorHAnsi"/>
          <w:i/>
          <w:color w:val="4D445D"/>
          <w:sz w:val="20"/>
        </w:rPr>
        <w:t>(</w:t>
      </w:r>
      <w:r w:rsidR="00950C09" w:rsidRPr="00C255F6">
        <w:rPr>
          <w:rFonts w:asciiTheme="minorHAnsi" w:hAnsiTheme="minorHAnsi" w:cstheme="minorHAnsi"/>
          <w:i/>
          <w:color w:val="4D445D"/>
          <w:sz w:val="20"/>
        </w:rPr>
        <w:t>C</w:t>
      </w:r>
      <w:r w:rsidRPr="00C255F6">
        <w:rPr>
          <w:rFonts w:asciiTheme="minorHAnsi" w:hAnsiTheme="minorHAnsi" w:cstheme="minorHAnsi"/>
          <w:i/>
          <w:color w:val="4D445D"/>
          <w:sz w:val="20"/>
        </w:rPr>
        <w:t>adre</w:t>
      </w:r>
      <w:r w:rsidRPr="00C255F6">
        <w:rPr>
          <w:rFonts w:asciiTheme="minorHAnsi" w:hAnsiTheme="minorHAnsi" w:cstheme="minorHAnsi"/>
          <w:i/>
          <w:color w:val="4D445D"/>
          <w:spacing w:val="-5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des données</w:t>
      </w:r>
      <w:r w:rsidRPr="00C255F6">
        <w:rPr>
          <w:rFonts w:asciiTheme="minorHAnsi" w:hAnsiTheme="minorHAnsi" w:cstheme="minorHAnsi"/>
          <w:i/>
          <w:color w:val="4D445D"/>
          <w:spacing w:val="-1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brutes vers tableaux</w:t>
      </w:r>
      <w:r w:rsidRPr="00C255F6">
        <w:rPr>
          <w:rFonts w:asciiTheme="minorHAnsi" w:hAnsiTheme="minorHAnsi" w:cstheme="minorHAnsi"/>
          <w:i/>
          <w:color w:val="4D445D"/>
          <w:spacing w:val="-5"/>
          <w:sz w:val="20"/>
        </w:rPr>
        <w:t xml:space="preserve"> </w:t>
      </w:r>
      <w:r w:rsidRPr="00C255F6">
        <w:rPr>
          <w:rFonts w:asciiTheme="minorHAnsi" w:hAnsiTheme="minorHAnsi" w:cstheme="minorHAnsi"/>
          <w:i/>
          <w:color w:val="4D445D"/>
          <w:sz w:val="20"/>
        </w:rPr>
        <w:t>réglementaires)</w:t>
      </w:r>
    </w:p>
    <w:p w:rsidR="00387F46" w:rsidRPr="00C255F6" w:rsidRDefault="00387F46" w:rsidP="00AC2F59">
      <w:pPr>
        <w:pStyle w:val="Corpsdetexte"/>
        <w:spacing w:before="5" w:line="276" w:lineRule="auto"/>
        <w:ind w:left="0"/>
        <w:jc w:val="left"/>
        <w:rPr>
          <w:rFonts w:asciiTheme="minorHAnsi" w:hAnsiTheme="minorHAnsi" w:cstheme="minorHAnsi"/>
        </w:rPr>
      </w:pPr>
    </w:p>
    <w:p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ind w:right="108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Il est conseillé d’utiliser le cadre des données brutes Excel pour la saisie des données</w:t>
      </w:r>
      <w:r w:rsidR="00C30071" w:rsidRPr="00C255F6">
        <w:rPr>
          <w:rFonts w:asciiTheme="minorHAnsi" w:hAnsiTheme="minorHAnsi" w:cstheme="minorHAnsi"/>
          <w:color w:val="4D445D"/>
        </w:rPr>
        <w:t>.</w:t>
      </w:r>
    </w:p>
    <w:p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27" w:line="276" w:lineRule="auto"/>
        <w:rPr>
          <w:rFonts w:asciiTheme="minorHAnsi" w:hAnsiTheme="minorHAnsi" w:cstheme="minorHAnsi"/>
          <w:sz w:val="24"/>
        </w:rPr>
      </w:pPr>
      <w:r w:rsidRPr="00C255F6">
        <w:rPr>
          <w:rFonts w:asciiTheme="minorHAnsi" w:hAnsiTheme="minorHAnsi" w:cstheme="minorHAnsi"/>
          <w:color w:val="4D445D"/>
          <w:spacing w:val="-1"/>
        </w:rPr>
        <w:t>Toutes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les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cellules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du</w:t>
      </w:r>
      <w:r w:rsidRPr="00C255F6">
        <w:rPr>
          <w:rFonts w:asciiTheme="minorHAnsi" w:hAnsiTheme="minorHAnsi" w:cstheme="minorHAnsi"/>
          <w:color w:val="4D445D"/>
          <w:spacing w:val="-13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cadre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  <w:spacing w:val="-1"/>
        </w:rPr>
        <w:t>des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données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brutes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sous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fond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jaune</w:t>
      </w:r>
      <w:r w:rsidRPr="00C255F6">
        <w:rPr>
          <w:rFonts w:asciiTheme="minorHAnsi" w:hAnsiTheme="minorHAnsi" w:cstheme="minorHAnsi"/>
          <w:color w:val="4D445D"/>
          <w:spacing w:val="-8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sont</w:t>
      </w:r>
      <w:r w:rsidRPr="00C255F6">
        <w:rPr>
          <w:rFonts w:asciiTheme="minorHAnsi" w:hAnsiTheme="minorHAnsi" w:cstheme="minorHAnsi"/>
          <w:color w:val="4D445D"/>
          <w:spacing w:val="-10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potentiellement</w:t>
      </w:r>
      <w:r w:rsidRPr="00C255F6">
        <w:rPr>
          <w:rFonts w:asciiTheme="minorHAnsi" w:hAnsiTheme="minorHAnsi" w:cstheme="minorHAnsi"/>
          <w:color w:val="4D445D"/>
          <w:spacing w:val="-1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à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="00950C09" w:rsidRPr="00C255F6">
        <w:rPr>
          <w:rFonts w:asciiTheme="minorHAnsi" w:hAnsiTheme="minorHAnsi" w:cstheme="minorHAnsi"/>
          <w:color w:val="4D445D"/>
        </w:rPr>
        <w:t>saisir</w:t>
      </w:r>
      <w:r w:rsidRPr="00C255F6">
        <w:rPr>
          <w:rFonts w:asciiTheme="minorHAnsi" w:hAnsiTheme="minorHAnsi" w:cstheme="minorHAnsi"/>
          <w:color w:val="4D445D"/>
          <w:spacing w:val="-12"/>
        </w:rPr>
        <w:t xml:space="preserve"> </w:t>
      </w:r>
      <w:r w:rsidR="00950C09" w:rsidRPr="00C255F6">
        <w:rPr>
          <w:rFonts w:asciiTheme="minorHAnsi" w:hAnsiTheme="minorHAnsi" w:cstheme="minorHAnsi"/>
          <w:color w:val="4D445D"/>
        </w:rPr>
        <w:t>afin</w:t>
      </w:r>
      <w:r w:rsidRPr="00C255F6">
        <w:rPr>
          <w:rFonts w:asciiTheme="minorHAnsi" w:hAnsiTheme="minorHAnsi" w:cstheme="minorHAnsi"/>
          <w:color w:val="4D445D"/>
          <w:spacing w:val="-45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 xml:space="preserve">de </w:t>
      </w:r>
      <w:r w:rsidR="00950C09" w:rsidRPr="00C255F6">
        <w:rPr>
          <w:rFonts w:asciiTheme="minorHAnsi" w:hAnsiTheme="minorHAnsi" w:cstheme="minorHAnsi"/>
          <w:color w:val="4D445D"/>
        </w:rPr>
        <w:t>permettre l’alimentation d</w:t>
      </w:r>
      <w:r w:rsidRPr="00C255F6">
        <w:rPr>
          <w:rFonts w:asciiTheme="minorHAnsi" w:hAnsiTheme="minorHAnsi" w:cstheme="minorHAnsi"/>
          <w:color w:val="4D445D"/>
        </w:rPr>
        <w:t xml:space="preserve">es tableaux réglementaires </w:t>
      </w:r>
    </w:p>
    <w:p w:rsidR="00387F46" w:rsidRPr="00C255F6" w:rsidRDefault="00246199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line="276" w:lineRule="auto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Les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bouton</w:t>
      </w:r>
      <w:r w:rsidRPr="00C255F6">
        <w:rPr>
          <w:rFonts w:asciiTheme="minorHAnsi" w:hAnsiTheme="minorHAnsi" w:cstheme="minorHAnsi"/>
          <w:color w:val="4D445D"/>
        </w:rPr>
        <w:t>s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« Générer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fichier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d’import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pour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la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plateforme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saisie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en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ligne »</w:t>
      </w:r>
      <w:r w:rsidRPr="00C255F6">
        <w:rPr>
          <w:rFonts w:asciiTheme="minorHAnsi" w:hAnsiTheme="minorHAnsi" w:cstheme="minorHAnsi"/>
          <w:color w:val="4D445D"/>
        </w:rPr>
        <w:t xml:space="preserve"> présents dans le fichier Excel</w:t>
      </w:r>
      <w:r w:rsidR="00977482" w:rsidRPr="00C255F6">
        <w:rPr>
          <w:rFonts w:asciiTheme="minorHAnsi" w:hAnsiTheme="minorHAnsi" w:cstheme="minorHAnsi"/>
          <w:color w:val="4D445D"/>
        </w:rPr>
        <w:t xml:space="preserve"> permet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tent </w:t>
      </w:r>
      <w:r w:rsidR="00977482" w:rsidRPr="00C255F6">
        <w:rPr>
          <w:rFonts w:asciiTheme="minorHAnsi" w:hAnsiTheme="minorHAnsi" w:cstheme="minorHAnsi"/>
          <w:color w:val="4D445D"/>
        </w:rPr>
        <w:t>de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>créer</w:t>
      </w:r>
      <w:r w:rsidR="00977482"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="00977482" w:rsidRPr="00C255F6">
        <w:rPr>
          <w:rFonts w:asciiTheme="minorHAnsi" w:hAnsiTheme="minorHAnsi" w:cstheme="minorHAnsi"/>
          <w:color w:val="4D445D"/>
        </w:rPr>
        <w:t xml:space="preserve">l’intégralité du fichier </w:t>
      </w:r>
      <w:r w:rsidR="009C0529" w:rsidRPr="00C255F6">
        <w:rPr>
          <w:rFonts w:asciiTheme="minorHAnsi" w:hAnsiTheme="minorHAnsi" w:cstheme="minorHAnsi"/>
          <w:color w:val="4D445D"/>
        </w:rPr>
        <w:t>.</w:t>
      </w:r>
      <w:r w:rsidR="00977482" w:rsidRPr="00C255F6">
        <w:rPr>
          <w:rFonts w:asciiTheme="minorHAnsi" w:hAnsiTheme="minorHAnsi" w:cstheme="minorHAnsi"/>
          <w:color w:val="4D445D"/>
        </w:rPr>
        <w:t xml:space="preserve">txt </w:t>
      </w:r>
      <w:r w:rsidR="009C0529" w:rsidRPr="00C255F6">
        <w:rPr>
          <w:rFonts w:asciiTheme="minorHAnsi" w:hAnsiTheme="minorHAnsi" w:cstheme="minorHAnsi"/>
          <w:color w:val="4D445D"/>
        </w:rPr>
        <w:t>à importer sur</w:t>
      </w:r>
      <w:r w:rsidR="00977482" w:rsidRPr="00C255F6">
        <w:rPr>
          <w:rFonts w:asciiTheme="minorHAnsi" w:hAnsiTheme="minorHAnsi" w:cstheme="minorHAnsi"/>
          <w:color w:val="4D445D"/>
        </w:rPr>
        <w:t xml:space="preserve"> la plateforme. </w:t>
      </w:r>
    </w:p>
    <w:p w:rsidR="009C0529" w:rsidRPr="00C255F6" w:rsidRDefault="00246199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9" w:line="276" w:lineRule="auto"/>
        <w:ind w:left="1111" w:right="113" w:hanging="357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comptes gris foncé sont verrouillés, en effet, pour remplir les tableaux réglementaires la saisie doit être </w:t>
      </w:r>
      <w:r w:rsidR="00176643">
        <w:rPr>
          <w:rFonts w:asciiTheme="minorHAnsi" w:hAnsiTheme="minorHAnsi" w:cstheme="minorHAnsi"/>
          <w:color w:val="4D445D"/>
        </w:rPr>
        <w:t>réaliser</w:t>
      </w:r>
      <w:r w:rsidRPr="00C255F6">
        <w:rPr>
          <w:rFonts w:asciiTheme="minorHAnsi" w:hAnsiTheme="minorHAnsi" w:cstheme="minorHAnsi"/>
          <w:color w:val="4D445D"/>
        </w:rPr>
        <w:t xml:space="preserve"> </w:t>
      </w:r>
      <w:r w:rsidR="00176643">
        <w:rPr>
          <w:rFonts w:asciiTheme="minorHAnsi" w:hAnsiTheme="minorHAnsi" w:cstheme="minorHAnsi"/>
          <w:color w:val="4D445D"/>
        </w:rPr>
        <w:t>sur</w:t>
      </w:r>
      <w:r w:rsidRPr="00C255F6">
        <w:rPr>
          <w:rFonts w:asciiTheme="minorHAnsi" w:hAnsiTheme="minorHAnsi" w:cstheme="minorHAnsi"/>
          <w:color w:val="4D445D"/>
        </w:rPr>
        <w:t xml:space="preserve"> un niveau de compte plus fin.</w:t>
      </w:r>
    </w:p>
    <w:p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35" w:line="276" w:lineRule="auto"/>
        <w:ind w:right="108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 xml:space="preserve">Les données de </w:t>
      </w:r>
      <w:r w:rsidR="00246199" w:rsidRPr="00C255F6">
        <w:rPr>
          <w:rFonts w:asciiTheme="minorHAnsi" w:hAnsiTheme="minorHAnsi" w:cstheme="minorHAnsi"/>
          <w:color w:val="4D445D"/>
        </w:rPr>
        <w:t xml:space="preserve">variation de </w:t>
      </w:r>
      <w:r w:rsidRPr="00C255F6">
        <w:rPr>
          <w:rFonts w:asciiTheme="minorHAnsi" w:hAnsiTheme="minorHAnsi" w:cstheme="minorHAnsi"/>
          <w:color w:val="4D445D"/>
        </w:rPr>
        <w:t>s</w:t>
      </w:r>
      <w:bookmarkStart w:id="0" w:name="_GoBack"/>
      <w:bookmarkEnd w:id="0"/>
      <w:r w:rsidRPr="00C255F6">
        <w:rPr>
          <w:rFonts w:asciiTheme="minorHAnsi" w:hAnsiTheme="minorHAnsi" w:cstheme="minorHAnsi"/>
          <w:color w:val="4D445D"/>
        </w:rPr>
        <w:t>tocks sont à compléter dans le cadre des données brutes dans l’onglet prévu à cet effet</w:t>
      </w:r>
      <w:r w:rsidR="00241AF6">
        <w:rPr>
          <w:rFonts w:asciiTheme="minorHAnsi" w:hAnsiTheme="minorHAnsi" w:cstheme="minorHAnsi"/>
          <w:color w:val="4D445D"/>
        </w:rPr>
        <w:t xml:space="preserve"> </w:t>
      </w:r>
      <w:proofErr w:type="gramStart"/>
      <w:r w:rsidR="00246199" w:rsidRPr="00C255F6">
        <w:rPr>
          <w:rFonts w:asciiTheme="minorHAnsi" w:hAnsiTheme="minorHAnsi" w:cstheme="minorHAnsi"/>
          <w:color w:val="4D445D"/>
          <w:spacing w:val="-45"/>
        </w:rPr>
        <w:t xml:space="preserve">  </w:t>
      </w:r>
      <w:r w:rsidR="00241AF6">
        <w:rPr>
          <w:rFonts w:asciiTheme="minorHAnsi" w:hAnsiTheme="minorHAnsi" w:cstheme="minorHAnsi"/>
          <w:color w:val="4D445D"/>
          <w:spacing w:val="-45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(</w:t>
      </w:r>
      <w:proofErr w:type="gramEnd"/>
      <w:r w:rsidRPr="00C255F6">
        <w:rPr>
          <w:rFonts w:asciiTheme="minorHAnsi" w:hAnsiTheme="minorHAnsi" w:cstheme="minorHAnsi"/>
          <w:color w:val="4D445D"/>
        </w:rPr>
        <w:t>STOCKS).</w:t>
      </w:r>
    </w:p>
    <w:p w:rsidR="00387F46" w:rsidRPr="00C255F6" w:rsidRDefault="00977482" w:rsidP="00AC2F59">
      <w:pPr>
        <w:pStyle w:val="Paragraphedeliste"/>
        <w:numPr>
          <w:ilvl w:val="0"/>
          <w:numId w:val="1"/>
        </w:numPr>
        <w:tabs>
          <w:tab w:val="left" w:pos="1114"/>
        </w:tabs>
        <w:spacing w:before="36" w:line="276" w:lineRule="auto"/>
        <w:rPr>
          <w:rFonts w:asciiTheme="minorHAnsi" w:hAnsiTheme="minorHAnsi" w:cstheme="minorHAnsi"/>
          <w:color w:val="4D445D"/>
        </w:rPr>
      </w:pPr>
      <w:r w:rsidRPr="00C255F6">
        <w:rPr>
          <w:rFonts w:asciiTheme="minorHAnsi" w:hAnsiTheme="minorHAnsi" w:cstheme="minorHAnsi"/>
          <w:color w:val="4D445D"/>
        </w:rPr>
        <w:t>Enfin, afin d’assurer l’exhaustivité de la reprise des données du Cadre des données brutes notamment</w:t>
      </w:r>
      <w:r w:rsidRPr="00C255F6">
        <w:rPr>
          <w:rFonts w:asciiTheme="minorHAnsi" w:hAnsiTheme="minorHAnsi" w:cstheme="minorHAnsi"/>
          <w:color w:val="4D445D"/>
          <w:spacing w:val="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pour</w:t>
      </w:r>
      <w:r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les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onglets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BI5,</w:t>
      </w:r>
      <w:r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BI11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et</w:t>
      </w:r>
      <w:r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BI12,</w:t>
      </w:r>
      <w:r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il</w:t>
      </w:r>
      <w:r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est</w:t>
      </w:r>
      <w:r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impératif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de</w:t>
      </w:r>
      <w:r w:rsidRPr="00C255F6">
        <w:rPr>
          <w:rFonts w:asciiTheme="minorHAnsi" w:hAnsiTheme="minorHAnsi" w:cstheme="minorHAnsi"/>
          <w:color w:val="4D445D"/>
          <w:spacing w:val="-2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saisir</w:t>
      </w:r>
      <w:r w:rsidR="00246199" w:rsidRPr="00C255F6">
        <w:rPr>
          <w:rFonts w:asciiTheme="minorHAnsi" w:hAnsiTheme="minorHAnsi" w:cstheme="minorHAnsi"/>
          <w:color w:val="4D445D"/>
        </w:rPr>
        <w:t xml:space="preserve"> ou vérifier</w:t>
      </w:r>
      <w:r w:rsidRPr="00C255F6">
        <w:rPr>
          <w:rFonts w:asciiTheme="minorHAnsi" w:hAnsiTheme="minorHAnsi" w:cstheme="minorHAnsi"/>
          <w:color w:val="4D445D"/>
        </w:rPr>
        <w:t xml:space="preserve"> les</w:t>
      </w:r>
      <w:r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données</w:t>
      </w:r>
      <w:r w:rsidRPr="00C255F6">
        <w:rPr>
          <w:rFonts w:asciiTheme="minorHAnsi" w:hAnsiTheme="minorHAnsi" w:cstheme="minorHAnsi"/>
          <w:color w:val="4D445D"/>
          <w:spacing w:val="-1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dans</w:t>
      </w:r>
      <w:r w:rsidRPr="00C255F6">
        <w:rPr>
          <w:rFonts w:asciiTheme="minorHAnsi" w:hAnsiTheme="minorHAnsi" w:cstheme="minorHAnsi"/>
          <w:color w:val="4D445D"/>
          <w:spacing w:val="-4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les colonnes les</w:t>
      </w:r>
      <w:r w:rsidRPr="00C255F6">
        <w:rPr>
          <w:rFonts w:asciiTheme="minorHAnsi" w:hAnsiTheme="minorHAnsi" w:cstheme="minorHAnsi"/>
          <w:color w:val="4D445D"/>
          <w:spacing w:val="-5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plus à</w:t>
      </w:r>
      <w:r w:rsidRPr="00C255F6">
        <w:rPr>
          <w:rFonts w:asciiTheme="minorHAnsi" w:hAnsiTheme="minorHAnsi" w:cstheme="minorHAnsi"/>
          <w:color w:val="4D445D"/>
          <w:spacing w:val="-3"/>
        </w:rPr>
        <w:t xml:space="preserve"> </w:t>
      </w:r>
      <w:r w:rsidRPr="00C255F6">
        <w:rPr>
          <w:rFonts w:asciiTheme="minorHAnsi" w:hAnsiTheme="minorHAnsi" w:cstheme="minorHAnsi"/>
          <w:color w:val="4D445D"/>
        </w:rPr>
        <w:t>droite</w:t>
      </w:r>
      <w:r w:rsidR="00950C09" w:rsidRPr="00C255F6">
        <w:rPr>
          <w:rFonts w:asciiTheme="minorHAnsi" w:hAnsiTheme="minorHAnsi" w:cstheme="minorHAnsi"/>
          <w:color w:val="4D445D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des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onglets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BILAN_CLASSE_1 /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3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et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5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(ces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données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sont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reprises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de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manière</w:t>
      </w:r>
      <w:r w:rsidRPr="00C255F6">
        <w:rPr>
          <w:rFonts w:asciiTheme="minorHAnsi" w:hAnsiTheme="minorHAnsi" w:cstheme="minorHAnsi"/>
          <w:color w:val="4D445D"/>
          <w:spacing w:val="1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spécifique dans</w:t>
      </w:r>
      <w:r w:rsidRPr="00C255F6">
        <w:rPr>
          <w:rFonts w:asciiTheme="minorHAnsi" w:hAnsiTheme="minorHAnsi" w:cstheme="minorHAnsi"/>
          <w:color w:val="4D445D"/>
          <w:spacing w:val="-2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les tableaux</w:t>
      </w:r>
      <w:r w:rsidRPr="00C255F6">
        <w:rPr>
          <w:rFonts w:asciiTheme="minorHAnsi" w:hAnsiTheme="minorHAnsi" w:cstheme="minorHAnsi"/>
          <w:color w:val="4D445D"/>
          <w:spacing w:val="-4"/>
          <w:sz w:val="24"/>
        </w:rPr>
        <w:t xml:space="preserve"> </w:t>
      </w:r>
      <w:r w:rsidRPr="00C255F6">
        <w:rPr>
          <w:rFonts w:asciiTheme="minorHAnsi" w:hAnsiTheme="minorHAnsi" w:cstheme="minorHAnsi"/>
          <w:color w:val="4D445D"/>
          <w:sz w:val="24"/>
        </w:rPr>
        <w:t>réglementaires).</w:t>
      </w:r>
    </w:p>
    <w:p w:rsidR="00387F46" w:rsidRDefault="00387F46">
      <w:pPr>
        <w:pStyle w:val="Corpsdetexte"/>
        <w:ind w:left="0"/>
        <w:jc w:val="left"/>
        <w:rPr>
          <w:sz w:val="20"/>
        </w:rPr>
      </w:pPr>
    </w:p>
    <w:p w:rsidR="00387F46" w:rsidRDefault="00387F46">
      <w:pPr>
        <w:pStyle w:val="Corpsdetexte"/>
        <w:spacing w:before="7"/>
        <w:ind w:left="0"/>
        <w:jc w:val="left"/>
        <w:rPr>
          <w:sz w:val="20"/>
        </w:rPr>
      </w:pPr>
    </w:p>
    <w:sectPr w:rsidR="00387F46">
      <w:type w:val="continuous"/>
      <w:pgSz w:w="11910" w:h="16840"/>
      <w:pgMar w:top="380" w:right="11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47EAB"/>
    <w:multiLevelType w:val="hybridMultilevel"/>
    <w:tmpl w:val="2C16A1CC"/>
    <w:lvl w:ilvl="0" w:tplc="2DE06D24">
      <w:numFmt w:val="bullet"/>
      <w:lvlText w:val="☐"/>
      <w:lvlJc w:val="left"/>
      <w:pPr>
        <w:ind w:left="1113" w:hanging="360"/>
      </w:pPr>
      <w:rPr>
        <w:rFonts w:hint="default"/>
        <w:b/>
        <w:bCs/>
        <w:w w:val="100"/>
        <w:lang w:val="fr-FR" w:eastAsia="en-US" w:bidi="ar-SA"/>
      </w:rPr>
    </w:lvl>
    <w:lvl w:ilvl="1" w:tplc="A022BA92">
      <w:numFmt w:val="bullet"/>
      <w:lvlText w:val="•"/>
      <w:lvlJc w:val="left"/>
      <w:pPr>
        <w:ind w:left="2022" w:hanging="360"/>
      </w:pPr>
      <w:rPr>
        <w:rFonts w:hint="default"/>
        <w:lang w:val="fr-FR" w:eastAsia="en-US" w:bidi="ar-SA"/>
      </w:rPr>
    </w:lvl>
    <w:lvl w:ilvl="2" w:tplc="2D42C134">
      <w:numFmt w:val="bullet"/>
      <w:lvlText w:val="•"/>
      <w:lvlJc w:val="left"/>
      <w:pPr>
        <w:ind w:left="2925" w:hanging="360"/>
      </w:pPr>
      <w:rPr>
        <w:rFonts w:hint="default"/>
        <w:lang w:val="fr-FR" w:eastAsia="en-US" w:bidi="ar-SA"/>
      </w:rPr>
    </w:lvl>
    <w:lvl w:ilvl="3" w:tplc="64D813FA">
      <w:numFmt w:val="bullet"/>
      <w:lvlText w:val="•"/>
      <w:lvlJc w:val="left"/>
      <w:pPr>
        <w:ind w:left="3827" w:hanging="360"/>
      </w:pPr>
      <w:rPr>
        <w:rFonts w:hint="default"/>
        <w:lang w:val="fr-FR" w:eastAsia="en-US" w:bidi="ar-SA"/>
      </w:rPr>
    </w:lvl>
    <w:lvl w:ilvl="4" w:tplc="CA60484C">
      <w:numFmt w:val="bullet"/>
      <w:lvlText w:val="•"/>
      <w:lvlJc w:val="left"/>
      <w:pPr>
        <w:ind w:left="4730" w:hanging="360"/>
      </w:pPr>
      <w:rPr>
        <w:rFonts w:hint="default"/>
        <w:lang w:val="fr-FR" w:eastAsia="en-US" w:bidi="ar-SA"/>
      </w:rPr>
    </w:lvl>
    <w:lvl w:ilvl="5" w:tplc="ECC0288C">
      <w:numFmt w:val="bullet"/>
      <w:lvlText w:val="•"/>
      <w:lvlJc w:val="left"/>
      <w:pPr>
        <w:ind w:left="5633" w:hanging="360"/>
      </w:pPr>
      <w:rPr>
        <w:rFonts w:hint="default"/>
        <w:lang w:val="fr-FR" w:eastAsia="en-US" w:bidi="ar-SA"/>
      </w:rPr>
    </w:lvl>
    <w:lvl w:ilvl="6" w:tplc="C7E08902">
      <w:numFmt w:val="bullet"/>
      <w:lvlText w:val="•"/>
      <w:lvlJc w:val="left"/>
      <w:pPr>
        <w:ind w:left="6535" w:hanging="360"/>
      </w:pPr>
      <w:rPr>
        <w:rFonts w:hint="default"/>
        <w:lang w:val="fr-FR" w:eastAsia="en-US" w:bidi="ar-SA"/>
      </w:rPr>
    </w:lvl>
    <w:lvl w:ilvl="7" w:tplc="A95A8A54">
      <w:numFmt w:val="bullet"/>
      <w:lvlText w:val="•"/>
      <w:lvlJc w:val="left"/>
      <w:pPr>
        <w:ind w:left="7438" w:hanging="360"/>
      </w:pPr>
      <w:rPr>
        <w:rFonts w:hint="default"/>
        <w:lang w:val="fr-FR" w:eastAsia="en-US" w:bidi="ar-SA"/>
      </w:rPr>
    </w:lvl>
    <w:lvl w:ilvl="8" w:tplc="5CD833BA">
      <w:numFmt w:val="bullet"/>
      <w:lvlText w:val="•"/>
      <w:lvlJc w:val="left"/>
      <w:pPr>
        <w:ind w:left="834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7F46"/>
    <w:rsid w:val="00176643"/>
    <w:rsid w:val="00201933"/>
    <w:rsid w:val="002247E8"/>
    <w:rsid w:val="00241AF6"/>
    <w:rsid w:val="00246199"/>
    <w:rsid w:val="00387F46"/>
    <w:rsid w:val="003E7BF0"/>
    <w:rsid w:val="00570314"/>
    <w:rsid w:val="008B11C5"/>
    <w:rsid w:val="008B592D"/>
    <w:rsid w:val="00950C09"/>
    <w:rsid w:val="00977482"/>
    <w:rsid w:val="009A68CC"/>
    <w:rsid w:val="009C0529"/>
    <w:rsid w:val="00A11085"/>
    <w:rsid w:val="00AC2F59"/>
    <w:rsid w:val="00C255F6"/>
    <w:rsid w:val="00C30071"/>
    <w:rsid w:val="00C7521D"/>
    <w:rsid w:val="00DE740D"/>
    <w:rsid w:val="00DF7DB6"/>
    <w:rsid w:val="00E16972"/>
    <w:rsid w:val="00F0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2F37"/>
  <w15:docId w15:val="{22082FCE-37C9-4F24-8BFB-84A6D447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13"/>
      <w:jc w:val="both"/>
    </w:pPr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91"/>
      <w:ind w:left="1101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113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C2F5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ih.sante.fr/compte-financier-exercice-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Fiches Techniques_ Check List Â« IntÃ©gration et saisie des donnÃ©es Â»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Fiches Techniques_ Check List Â« IntÃ©gration et saisie des donnÃ©es Â»</dc:title>
  <dc:creator>skaidi</dc:creator>
  <cp:lastModifiedBy>Gaël PRIOL</cp:lastModifiedBy>
  <cp:revision>18</cp:revision>
  <dcterms:created xsi:type="dcterms:W3CDTF">2021-05-18T06:21:00Z</dcterms:created>
  <dcterms:modified xsi:type="dcterms:W3CDTF">2022-04-27T08:07:00Z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2021-05-18T00:00:00Z</vt:filetime>
  </property>
</Properties>
</file>