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85BEC" w14:textId="77777777" w:rsidR="00387F46" w:rsidRDefault="00387F46">
      <w:pPr>
        <w:pStyle w:val="Corpsdetexte"/>
        <w:ind w:left="0"/>
        <w:jc w:val="left"/>
        <w:rPr>
          <w:rFonts w:ascii="Times New Roman"/>
          <w:sz w:val="20"/>
        </w:rPr>
      </w:pPr>
    </w:p>
    <w:p w14:paraId="24EB7987" w14:textId="77777777" w:rsidR="00387F46" w:rsidRDefault="00387F46">
      <w:pPr>
        <w:pStyle w:val="Corpsdetexte"/>
        <w:spacing w:before="8"/>
        <w:ind w:left="0"/>
        <w:jc w:val="left"/>
        <w:rPr>
          <w:rFonts w:ascii="Times New Roman"/>
          <w:sz w:val="23"/>
        </w:rPr>
      </w:pPr>
    </w:p>
    <w:p w14:paraId="78A1EF34" w14:textId="47200475" w:rsidR="00387F46" w:rsidRDefault="004D77DE">
      <w:pPr>
        <w:pStyle w:val="Titre"/>
        <w:rPr>
          <w:color w:val="1F91C6"/>
        </w:rPr>
      </w:pPr>
      <w:r>
        <w:rPr>
          <w:color w:val="1F91C6"/>
        </w:rPr>
        <w:t>En bref</w:t>
      </w:r>
      <w:r w:rsidR="00977482">
        <w:rPr>
          <w:color w:val="1F91C6"/>
        </w:rPr>
        <w:t xml:space="preserve"> :</w:t>
      </w:r>
      <w:r w:rsidR="00977482">
        <w:rPr>
          <w:color w:val="1F91C6"/>
          <w:spacing w:val="-3"/>
        </w:rPr>
        <w:t xml:space="preserve"> </w:t>
      </w:r>
      <w:r w:rsidR="00B923F5">
        <w:rPr>
          <w:color w:val="1F91C6"/>
          <w:spacing w:val="-3"/>
        </w:rPr>
        <w:t>Import de</w:t>
      </w:r>
      <w:r w:rsidR="00570314">
        <w:rPr>
          <w:color w:val="1F91C6"/>
          <w:spacing w:val="-4"/>
        </w:rPr>
        <w:t xml:space="preserve"> la balance </w:t>
      </w:r>
      <w:r w:rsidR="00977482">
        <w:rPr>
          <w:color w:val="1F91C6"/>
        </w:rPr>
        <w:t>et saisie</w:t>
      </w:r>
      <w:r w:rsidR="00977482">
        <w:rPr>
          <w:color w:val="1F91C6"/>
          <w:spacing w:val="2"/>
        </w:rPr>
        <w:t xml:space="preserve"> </w:t>
      </w:r>
      <w:r w:rsidR="00977482">
        <w:rPr>
          <w:color w:val="1F91C6"/>
        </w:rPr>
        <w:t>des données</w:t>
      </w:r>
      <w:r w:rsidR="00977482">
        <w:rPr>
          <w:color w:val="1F91C6"/>
          <w:spacing w:val="-1"/>
        </w:rPr>
        <w:t xml:space="preserve"> </w:t>
      </w:r>
      <w:r>
        <w:rPr>
          <w:color w:val="1F91C6"/>
        </w:rPr>
        <w:t>du CF</w:t>
      </w:r>
    </w:p>
    <w:p w14:paraId="7762A2CF" w14:textId="77777777" w:rsidR="00C255F6" w:rsidRDefault="00C255F6">
      <w:pPr>
        <w:pStyle w:val="Titre"/>
        <w:rPr>
          <w:color w:val="1F91C6"/>
        </w:rPr>
      </w:pPr>
    </w:p>
    <w:p w14:paraId="1E0CE865" w14:textId="77777777" w:rsidR="00C255F6" w:rsidRDefault="00C255F6">
      <w:pPr>
        <w:pStyle w:val="Titre"/>
        <w:rPr>
          <w:color w:val="1F91C6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6E25AD95" wp14:editId="36812BD5">
            <wp:simplePos x="0" y="0"/>
            <wp:positionH relativeFrom="page">
              <wp:posOffset>724534</wp:posOffset>
            </wp:positionH>
            <wp:positionV relativeFrom="paragraph">
              <wp:posOffset>115570</wp:posOffset>
            </wp:positionV>
            <wp:extent cx="457200" cy="457199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C34A5" w14:textId="0C7A8F76" w:rsidR="00C255F6" w:rsidRPr="00C255F6" w:rsidRDefault="004D77DE" w:rsidP="00C255F6">
      <w:pPr>
        <w:spacing w:line="276" w:lineRule="auto"/>
        <w:ind w:left="774" w:firstLine="666"/>
        <w:rPr>
          <w:rFonts w:ascii="Arial" w:hAnsi="Arial"/>
          <w:b/>
          <w:color w:val="00B0F0"/>
        </w:rPr>
      </w:pPr>
      <w:r>
        <w:rPr>
          <w:rFonts w:ascii="Arial" w:hAnsi="Arial"/>
          <w:b/>
          <w:color w:val="00B0F0"/>
        </w:rPr>
        <w:t>I</w:t>
      </w:r>
      <w:r w:rsidR="00C255F6" w:rsidRPr="00C255F6">
        <w:rPr>
          <w:rFonts w:ascii="Arial" w:hAnsi="Arial"/>
          <w:b/>
          <w:color w:val="00B0F0"/>
        </w:rPr>
        <w:t xml:space="preserve">ntégration de la balance </w:t>
      </w:r>
    </w:p>
    <w:p w14:paraId="50BC827F" w14:textId="77777777" w:rsidR="00387F46" w:rsidRDefault="00387F46">
      <w:pPr>
        <w:pStyle w:val="Corpsdetexte"/>
        <w:spacing w:before="3"/>
        <w:ind w:left="0"/>
        <w:jc w:val="left"/>
        <w:rPr>
          <w:rFonts w:ascii="Arial"/>
          <w:b/>
          <w:sz w:val="24"/>
        </w:rPr>
      </w:pPr>
    </w:p>
    <w:p w14:paraId="3DD02703" w14:textId="2347CAF8" w:rsidR="00AC2F59" w:rsidRPr="00D732D6" w:rsidRDefault="00977482" w:rsidP="00D732D6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left="777" w:right="0" w:hanging="363"/>
        <w:jc w:val="left"/>
        <w:rPr>
          <w:rFonts w:asciiTheme="minorHAnsi" w:hAnsiTheme="minorHAnsi" w:cstheme="minorHAnsi"/>
          <w:color w:val="4D445D"/>
        </w:rPr>
      </w:pPr>
      <w:r w:rsidRPr="00D732D6">
        <w:rPr>
          <w:rFonts w:asciiTheme="minorHAnsi" w:hAnsiTheme="minorHAnsi" w:cstheme="minorHAnsi"/>
          <w:color w:val="4D445D"/>
        </w:rPr>
        <w:t>Se référer au format de balance attendue</w:t>
      </w:r>
      <w:r w:rsidR="00D732D6" w:rsidRPr="00D732D6">
        <w:rPr>
          <w:rFonts w:asciiTheme="minorHAnsi" w:hAnsiTheme="minorHAnsi" w:cstheme="minorHAnsi"/>
          <w:color w:val="4D445D"/>
        </w:rPr>
        <w:t xml:space="preserve"> (formats différents ESPIC/EPS)</w:t>
      </w:r>
      <w:r w:rsidRPr="00D732D6">
        <w:rPr>
          <w:rFonts w:asciiTheme="minorHAnsi" w:hAnsiTheme="minorHAnsi" w:cstheme="minorHAnsi"/>
          <w:color w:val="4D445D"/>
        </w:rPr>
        <w:t xml:space="preserve">, disponible </w:t>
      </w:r>
      <w:r w:rsidR="00F06CFD" w:rsidRPr="00D732D6">
        <w:rPr>
          <w:rFonts w:asciiTheme="minorHAnsi" w:hAnsiTheme="minorHAnsi" w:cstheme="minorHAnsi"/>
          <w:color w:val="4D445D"/>
        </w:rPr>
        <w:t>sur la page</w:t>
      </w:r>
      <w:r w:rsidRPr="00D732D6">
        <w:rPr>
          <w:rFonts w:asciiTheme="minorHAnsi" w:hAnsiTheme="minorHAnsi" w:cstheme="minorHAnsi"/>
          <w:color w:val="4D445D"/>
          <w:spacing w:val="-9"/>
        </w:rPr>
        <w:t xml:space="preserve"> </w:t>
      </w:r>
      <w:r w:rsidRPr="00D732D6">
        <w:rPr>
          <w:rFonts w:asciiTheme="minorHAnsi" w:hAnsiTheme="minorHAnsi" w:cstheme="minorHAnsi"/>
          <w:color w:val="4D445D"/>
        </w:rPr>
        <w:t>documentation</w:t>
      </w:r>
      <w:r w:rsidR="00AC2F59" w:rsidRPr="00D732D6">
        <w:rPr>
          <w:rFonts w:asciiTheme="minorHAnsi" w:hAnsiTheme="minorHAnsi" w:cstheme="minorHAnsi"/>
          <w:color w:val="4D445D"/>
        </w:rPr>
        <w:t xml:space="preserve"> sur le site de l’ATIH</w:t>
      </w:r>
      <w:r w:rsidR="00AC2F59" w:rsidRPr="00D732D6">
        <w:rPr>
          <w:rFonts w:asciiTheme="minorHAnsi" w:hAnsiTheme="minorHAnsi" w:cstheme="minorHAnsi"/>
          <w:color w:val="4D445D"/>
          <w:spacing w:val="-9"/>
        </w:rPr>
        <w:t> :</w:t>
      </w:r>
      <w:r w:rsidR="00D732D6" w:rsidRPr="00D732D6">
        <w:rPr>
          <w:rFonts w:asciiTheme="minorHAnsi" w:hAnsiTheme="minorHAnsi" w:cstheme="minorHAnsi"/>
          <w:color w:val="4D445D"/>
          <w:spacing w:val="-9"/>
        </w:rPr>
        <w:t xml:space="preserve"> </w:t>
      </w:r>
      <w:hyperlink r:id="rId6" w:history="1">
        <w:r w:rsidR="004D77DE">
          <w:rPr>
            <w:rStyle w:val="Lienhypertexte"/>
            <w:rFonts w:asciiTheme="minorHAnsi" w:hAnsiTheme="minorHAnsi" w:cstheme="minorHAnsi"/>
          </w:rPr>
          <w:t>https://www.atih.sante.fr/compte-financier-exercice-2024</w:t>
        </w:r>
      </w:hyperlink>
    </w:p>
    <w:p w14:paraId="7575736E" w14:textId="77777777" w:rsidR="002247E8" w:rsidRPr="00C255F6" w:rsidRDefault="002247E8" w:rsidP="00AC2F59">
      <w:pPr>
        <w:pStyle w:val="Paragraphedeliste"/>
        <w:tabs>
          <w:tab w:val="left" w:pos="1114"/>
        </w:tabs>
        <w:spacing w:line="276" w:lineRule="auto"/>
        <w:ind w:firstLine="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b/>
          <w:color w:val="FF0000"/>
        </w:rPr>
        <w:t>PRECISION</w:t>
      </w:r>
      <w:r w:rsidRPr="00C255F6">
        <w:rPr>
          <w:rFonts w:asciiTheme="minorHAnsi" w:hAnsiTheme="minorHAnsi" w:cstheme="minorHAnsi"/>
          <w:color w:val="FF0000"/>
        </w:rPr>
        <w:t> </w:t>
      </w:r>
      <w:r w:rsidRPr="00C255F6">
        <w:rPr>
          <w:rFonts w:asciiTheme="minorHAnsi" w:hAnsiTheme="minorHAnsi" w:cstheme="minorHAnsi"/>
          <w:color w:val="4D445D"/>
        </w:rPr>
        <w:t xml:space="preserve">: </w:t>
      </w:r>
      <w:r w:rsidRPr="00C255F6">
        <w:rPr>
          <w:rFonts w:asciiTheme="minorHAnsi" w:hAnsiTheme="minorHAnsi" w:cstheme="minorHAnsi"/>
          <w:color w:val="FF0000"/>
        </w:rPr>
        <w:t xml:space="preserve">les balances </w:t>
      </w:r>
      <w:r w:rsidR="00DF7DB6" w:rsidRPr="00C255F6">
        <w:rPr>
          <w:rFonts w:asciiTheme="minorHAnsi" w:hAnsiTheme="minorHAnsi" w:cstheme="minorHAnsi"/>
          <w:color w:val="FF0000"/>
        </w:rPr>
        <w:t>attendues sont les balances</w:t>
      </w:r>
      <w:r w:rsidRPr="00C255F6">
        <w:rPr>
          <w:rFonts w:asciiTheme="minorHAnsi" w:hAnsiTheme="minorHAnsi" w:cstheme="minorHAnsi"/>
          <w:color w:val="FF0000"/>
        </w:rPr>
        <w:t xml:space="preserve"> avant affectation du résultat</w:t>
      </w:r>
    </w:p>
    <w:p w14:paraId="35DA3EE5" w14:textId="77A374B1" w:rsidR="00570314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right="0" w:hanging="361"/>
        <w:jc w:val="left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 données attendues doivent être au format M21</w:t>
      </w:r>
      <w:r w:rsidR="00C30071" w:rsidRPr="00C255F6">
        <w:rPr>
          <w:rFonts w:asciiTheme="minorHAnsi" w:hAnsiTheme="minorHAnsi" w:cstheme="minorHAnsi"/>
          <w:color w:val="4D445D"/>
        </w:rPr>
        <w:t>/plan comptable applicable aux établissements de santé privés</w:t>
      </w:r>
      <w:r w:rsidRPr="00C255F6">
        <w:rPr>
          <w:rFonts w:asciiTheme="minorHAnsi" w:hAnsiTheme="minorHAnsi" w:cstheme="minorHAnsi"/>
          <w:color w:val="4D445D"/>
        </w:rPr>
        <w:t xml:space="preserve"> : </w:t>
      </w:r>
      <w:r w:rsidR="00D732D6">
        <w:rPr>
          <w:rFonts w:asciiTheme="minorHAnsi" w:hAnsiTheme="minorHAnsi" w:cstheme="minorHAnsi"/>
          <w:color w:val="4D445D"/>
        </w:rPr>
        <w:t>i</w:t>
      </w:r>
      <w:r w:rsidRPr="00C255F6">
        <w:rPr>
          <w:rFonts w:asciiTheme="minorHAnsi" w:hAnsiTheme="minorHAnsi" w:cstheme="minorHAnsi"/>
          <w:color w:val="4D445D"/>
        </w:rPr>
        <w:t>l est obligatoire de rassembler les comptes concernés sur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un niveau</w:t>
      </w:r>
      <w:r w:rsidRPr="00C255F6">
        <w:rPr>
          <w:rFonts w:asciiTheme="minorHAnsi" w:hAnsiTheme="minorHAnsi" w:cstheme="minorHAnsi"/>
          <w:color w:val="4D445D"/>
          <w:spacing w:val="-3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autorisé</w:t>
      </w:r>
      <w:r w:rsidR="00D732D6">
        <w:rPr>
          <w:rFonts w:asciiTheme="minorHAnsi" w:hAnsiTheme="minorHAnsi" w:cstheme="minorHAnsi"/>
          <w:color w:val="4D445D"/>
        </w:rPr>
        <w:t xml:space="preserve"> (a</w:t>
      </w:r>
      <w:r w:rsidR="00570314" w:rsidRPr="00C255F6">
        <w:rPr>
          <w:rFonts w:asciiTheme="minorHAnsi" w:hAnsiTheme="minorHAnsi" w:cstheme="minorHAnsi"/>
          <w:color w:val="4D445D"/>
        </w:rPr>
        <w:t>ttention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aux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comptes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d’attente</w:t>
      </w:r>
      <w:r w:rsidR="00570314" w:rsidRPr="00C255F6">
        <w:rPr>
          <w:rFonts w:asciiTheme="minorHAnsi" w:hAnsiTheme="minorHAnsi" w:cstheme="minorHAnsi"/>
          <w:color w:val="4D445D"/>
          <w:spacing w:val="-1"/>
        </w:rPr>
        <w:t xml:space="preserve"> </w:t>
      </w:r>
      <w:r w:rsidR="00570314" w:rsidRPr="00C255F6">
        <w:rPr>
          <w:rFonts w:asciiTheme="minorHAnsi" w:hAnsiTheme="minorHAnsi" w:cstheme="minorHAnsi"/>
          <w:color w:val="4D445D"/>
        </w:rPr>
        <w:t>qui pourraient exister).</w:t>
      </w:r>
    </w:p>
    <w:p w14:paraId="54C0B298" w14:textId="002D1E2C" w:rsidR="007D3BC0" w:rsidRPr="00C255F6" w:rsidRDefault="004D77DE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right="0" w:hanging="361"/>
        <w:jc w:val="left"/>
        <w:rPr>
          <w:rFonts w:asciiTheme="minorHAnsi" w:hAnsiTheme="minorHAnsi" w:cstheme="minorHAnsi"/>
          <w:color w:val="4D445D"/>
        </w:rPr>
      </w:pPr>
      <w:r w:rsidRPr="004D77DE">
        <w:rPr>
          <w:rFonts w:asciiTheme="minorHAnsi" w:hAnsiTheme="minorHAnsi" w:cstheme="minorHAnsi"/>
          <w:color w:val="4D445D"/>
        </w:rPr>
        <w:t>Depuis le</w:t>
      </w:r>
      <w:r w:rsidR="007D3BC0" w:rsidRPr="004D77DE">
        <w:rPr>
          <w:rFonts w:asciiTheme="minorHAnsi" w:hAnsiTheme="minorHAnsi" w:cstheme="minorHAnsi"/>
          <w:color w:val="4D445D"/>
        </w:rPr>
        <w:t xml:space="preserve"> CF 202</w:t>
      </w:r>
      <w:r w:rsidR="004B6782">
        <w:rPr>
          <w:rFonts w:asciiTheme="minorHAnsi" w:hAnsiTheme="minorHAnsi" w:cstheme="minorHAnsi"/>
          <w:color w:val="4D445D"/>
        </w:rPr>
        <w:t>3</w:t>
      </w:r>
      <w:r w:rsidR="007D3BC0" w:rsidRPr="004D77DE">
        <w:rPr>
          <w:rFonts w:asciiTheme="minorHAnsi" w:hAnsiTheme="minorHAnsi" w:cstheme="minorHAnsi"/>
          <w:color w:val="4D445D"/>
        </w:rPr>
        <w:t> :</w:t>
      </w:r>
      <w:r w:rsidR="007D3BC0">
        <w:rPr>
          <w:rFonts w:asciiTheme="minorHAnsi" w:hAnsiTheme="minorHAnsi" w:cstheme="minorHAnsi"/>
          <w:color w:val="4D445D"/>
        </w:rPr>
        <w:t xml:space="preserve"> les colonnes totaux et soldes se calculent automatiquement dans le cadre de données brutes et n’ont donc pas l’obligation d’être renseignées dans l’import.</w:t>
      </w:r>
    </w:p>
    <w:p w14:paraId="10AB9B74" w14:textId="2A9546C0" w:rsidR="00A11085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Par ailleurs, le système ne prend pas en compte les lignes avec doublons de numéro de compte</w:t>
      </w:r>
      <w:r w:rsidR="00D732D6">
        <w:rPr>
          <w:rFonts w:asciiTheme="minorHAnsi" w:hAnsiTheme="minorHAnsi" w:cstheme="minorHAnsi"/>
          <w:color w:val="4D445D"/>
        </w:rPr>
        <w:t xml:space="preserve"> pour un même budget.</w:t>
      </w:r>
      <w:r w:rsidRPr="00C255F6">
        <w:rPr>
          <w:rFonts w:asciiTheme="minorHAnsi" w:hAnsiTheme="minorHAnsi" w:cstheme="minorHAnsi"/>
          <w:color w:val="4D445D"/>
        </w:rPr>
        <w:t xml:space="preserve"> Il est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impératif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de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veiller</w:t>
      </w:r>
      <w:r w:rsidRPr="00C255F6">
        <w:rPr>
          <w:rFonts w:asciiTheme="minorHAnsi" w:hAnsiTheme="minorHAnsi" w:cstheme="minorHAnsi"/>
          <w:color w:val="4D445D"/>
          <w:spacing w:val="3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à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ce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qu’il</w:t>
      </w:r>
      <w:r w:rsidRPr="00C255F6">
        <w:rPr>
          <w:rFonts w:asciiTheme="minorHAnsi" w:hAnsiTheme="minorHAnsi" w:cstheme="minorHAnsi"/>
          <w:color w:val="4D445D"/>
          <w:spacing w:val="3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n’y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ait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7D3BC0">
        <w:rPr>
          <w:rFonts w:asciiTheme="minorHAnsi" w:hAnsiTheme="minorHAnsi" w:cstheme="minorHAnsi"/>
          <w:b/>
          <w:bCs/>
          <w:color w:val="4D445D"/>
        </w:rPr>
        <w:t>aucun</w:t>
      </w:r>
      <w:r w:rsidRPr="007D3BC0">
        <w:rPr>
          <w:rFonts w:asciiTheme="minorHAnsi" w:hAnsiTheme="minorHAnsi" w:cstheme="minorHAnsi"/>
          <w:b/>
          <w:bCs/>
          <w:color w:val="4D445D"/>
          <w:spacing w:val="31"/>
        </w:rPr>
        <w:t xml:space="preserve"> </w:t>
      </w:r>
      <w:r w:rsidRPr="007D3BC0">
        <w:rPr>
          <w:rFonts w:asciiTheme="minorHAnsi" w:hAnsiTheme="minorHAnsi" w:cstheme="minorHAnsi"/>
          <w:b/>
          <w:bCs/>
          <w:color w:val="4D445D"/>
        </w:rPr>
        <w:t>doublon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en</w:t>
      </w:r>
      <w:r w:rsidRPr="00C255F6">
        <w:rPr>
          <w:rFonts w:asciiTheme="minorHAnsi" w:hAnsiTheme="minorHAnsi" w:cstheme="minorHAnsi"/>
          <w:color w:val="4D445D"/>
          <w:spacing w:val="31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sommant</w:t>
      </w:r>
      <w:r w:rsidRPr="00C255F6">
        <w:rPr>
          <w:rFonts w:asciiTheme="minorHAnsi" w:hAnsiTheme="minorHAnsi" w:cstheme="minorHAnsi"/>
          <w:color w:val="4D445D"/>
          <w:spacing w:val="3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le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cas</w:t>
      </w:r>
      <w:r w:rsidRPr="00C255F6">
        <w:rPr>
          <w:rFonts w:asciiTheme="minorHAnsi" w:hAnsiTheme="minorHAnsi" w:cstheme="minorHAnsi"/>
          <w:color w:val="4D445D"/>
          <w:spacing w:val="27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échéant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les</w:t>
      </w:r>
      <w:r w:rsidRPr="00C255F6">
        <w:rPr>
          <w:rFonts w:asciiTheme="minorHAnsi" w:hAnsiTheme="minorHAnsi" w:cstheme="minorHAnsi"/>
          <w:color w:val="4D445D"/>
          <w:spacing w:val="29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colonnes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de</w:t>
      </w:r>
      <w:r w:rsidRPr="00C255F6">
        <w:rPr>
          <w:rFonts w:asciiTheme="minorHAnsi" w:hAnsiTheme="minorHAnsi" w:cstheme="minorHAnsi"/>
          <w:color w:val="4D445D"/>
          <w:spacing w:val="2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ces</w:t>
      </w:r>
      <w:r w:rsidR="00AC2F59" w:rsidRPr="00C255F6">
        <w:rPr>
          <w:rFonts w:asciiTheme="minorHAnsi" w:hAnsiTheme="minorHAnsi" w:cstheme="minorHAnsi"/>
          <w:color w:val="4D445D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comptes et en affectant le solde au débit/</w:t>
      </w:r>
      <w:r w:rsidR="008B592D">
        <w:rPr>
          <w:rFonts w:asciiTheme="minorHAnsi" w:hAnsiTheme="minorHAnsi" w:cstheme="minorHAnsi"/>
          <w:color w:val="4D445D"/>
        </w:rPr>
        <w:t>c</w:t>
      </w:r>
      <w:r w:rsidRPr="00C255F6">
        <w:rPr>
          <w:rFonts w:asciiTheme="minorHAnsi" w:hAnsiTheme="minorHAnsi" w:cstheme="minorHAnsi"/>
          <w:color w:val="4D445D"/>
        </w:rPr>
        <w:t xml:space="preserve">rédit. </w:t>
      </w:r>
    </w:p>
    <w:p w14:paraId="227776D3" w14:textId="01881085" w:rsidR="00C30071" w:rsidRPr="00C255F6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 budgets E1, E2 ne sont pas autorisés : ils doivent être fusionné</w:t>
      </w:r>
      <w:r w:rsidR="00D732D6">
        <w:rPr>
          <w:rFonts w:asciiTheme="minorHAnsi" w:hAnsiTheme="minorHAnsi" w:cstheme="minorHAnsi"/>
          <w:color w:val="4D445D"/>
        </w:rPr>
        <w:t>s</w:t>
      </w:r>
      <w:r w:rsidRPr="00C255F6">
        <w:rPr>
          <w:rFonts w:asciiTheme="minorHAnsi" w:hAnsiTheme="minorHAnsi" w:cstheme="minorHAnsi"/>
          <w:color w:val="4D445D"/>
        </w:rPr>
        <w:t xml:space="preserve"> sous la lettre E </w:t>
      </w:r>
      <w:r w:rsidRPr="00D732D6">
        <w:rPr>
          <w:rFonts w:asciiTheme="minorHAnsi" w:hAnsiTheme="minorHAnsi" w:cstheme="minorHAnsi"/>
          <w:color w:val="FF0000"/>
        </w:rPr>
        <w:t>sans doublon</w:t>
      </w:r>
      <w:r w:rsidR="00D732D6">
        <w:rPr>
          <w:rFonts w:asciiTheme="minorHAnsi" w:hAnsiTheme="minorHAnsi" w:cstheme="minorHAnsi"/>
          <w:color w:val="FF0000"/>
        </w:rPr>
        <w:t>s</w:t>
      </w:r>
      <w:r w:rsidRPr="00C255F6">
        <w:rPr>
          <w:rFonts w:asciiTheme="minorHAnsi" w:hAnsiTheme="minorHAnsi" w:cstheme="minorHAnsi"/>
          <w:color w:val="4D445D"/>
        </w:rPr>
        <w:t>.</w:t>
      </w:r>
    </w:p>
    <w:p w14:paraId="5C1653A5" w14:textId="09E4F359" w:rsidR="00387F46" w:rsidRPr="00C255F6" w:rsidRDefault="00977482" w:rsidP="00AC2F59">
      <w:pPr>
        <w:pStyle w:val="Corpsdetexte"/>
        <w:numPr>
          <w:ilvl w:val="0"/>
          <w:numId w:val="1"/>
        </w:numPr>
        <w:spacing w:before="40" w:line="276" w:lineRule="auto"/>
        <w:ind w:right="110"/>
        <w:rPr>
          <w:rFonts w:asciiTheme="minorHAnsi" w:hAnsiTheme="minorHAnsi" w:cstheme="minorHAnsi"/>
          <w:sz w:val="22"/>
        </w:rPr>
      </w:pPr>
      <w:r w:rsidRPr="00C255F6">
        <w:rPr>
          <w:rFonts w:asciiTheme="minorHAnsi" w:hAnsiTheme="minorHAnsi" w:cstheme="minorHAnsi"/>
          <w:color w:val="4D445D"/>
          <w:sz w:val="22"/>
        </w:rPr>
        <w:t xml:space="preserve">Pour les comptes de classe 1, 2 et 5 la lettre </w:t>
      </w:r>
      <w:r w:rsidR="00201933" w:rsidRPr="00C255F6">
        <w:rPr>
          <w:rFonts w:asciiTheme="minorHAnsi" w:hAnsiTheme="minorHAnsi" w:cstheme="minorHAnsi"/>
          <w:color w:val="4D445D"/>
          <w:sz w:val="22"/>
        </w:rPr>
        <w:t>budgétaire n’est</w:t>
      </w:r>
      <w:r w:rsidRPr="00C255F6">
        <w:rPr>
          <w:rFonts w:asciiTheme="minorHAnsi" w:hAnsiTheme="minorHAnsi" w:cstheme="minorHAnsi"/>
          <w:color w:val="4D445D"/>
          <w:sz w:val="22"/>
        </w:rPr>
        <w:t xml:space="preserve"> pas attendue</w:t>
      </w:r>
      <w:r w:rsidR="00CE52A5">
        <w:rPr>
          <w:rFonts w:asciiTheme="minorHAnsi" w:hAnsiTheme="minorHAnsi" w:cstheme="minorHAnsi"/>
          <w:color w:val="4D445D"/>
          <w:sz w:val="22"/>
        </w:rPr>
        <w:t xml:space="preserve"> (possibilité d’indiquer «H»)</w:t>
      </w:r>
      <w:r w:rsidRPr="00C255F6">
        <w:rPr>
          <w:rFonts w:asciiTheme="minorHAnsi" w:hAnsiTheme="minorHAnsi" w:cstheme="minorHAnsi"/>
          <w:color w:val="4D445D"/>
          <w:sz w:val="22"/>
        </w:rPr>
        <w:t>.</w:t>
      </w:r>
    </w:p>
    <w:p w14:paraId="40C7C3F5" w14:textId="77777777" w:rsidR="00C30071" w:rsidRDefault="00C30071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Ne pas oublier les </w:t>
      </w:r>
      <w:r w:rsidRPr="004D77DE">
        <w:rPr>
          <w:rFonts w:asciiTheme="minorHAnsi" w:hAnsiTheme="minorHAnsi" w:cstheme="minorHAnsi"/>
          <w:b/>
          <w:bCs/>
          <w:color w:val="4D445D"/>
        </w:rPr>
        <w:t>comptes de liaison des budgets annexes et du budget H</w:t>
      </w:r>
      <w:r w:rsidRPr="00C255F6">
        <w:rPr>
          <w:rFonts w:asciiTheme="minorHAnsi" w:hAnsiTheme="minorHAnsi" w:cstheme="minorHAnsi"/>
          <w:color w:val="4D445D"/>
        </w:rPr>
        <w:t>.</w:t>
      </w:r>
    </w:p>
    <w:p w14:paraId="0D6A0D4D" w14:textId="6EEEAE22" w:rsidR="004D77DE" w:rsidRPr="00C255F6" w:rsidRDefault="004D77DE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ind w:right="110"/>
        <w:rPr>
          <w:rFonts w:asciiTheme="minorHAnsi" w:hAnsiTheme="minorHAnsi" w:cstheme="minorHAnsi"/>
          <w:color w:val="4D445D"/>
        </w:rPr>
      </w:pPr>
      <w:r>
        <w:rPr>
          <w:rFonts w:asciiTheme="minorHAnsi" w:hAnsiTheme="minorHAnsi" w:cstheme="minorHAnsi"/>
          <w:color w:val="4D445D"/>
        </w:rPr>
        <w:t xml:space="preserve">Le compte 12 n’est pas </w:t>
      </w:r>
      <w:r w:rsidR="00FD686A">
        <w:rPr>
          <w:rFonts w:asciiTheme="minorHAnsi" w:hAnsiTheme="minorHAnsi" w:cstheme="minorHAnsi"/>
          <w:color w:val="4D445D"/>
        </w:rPr>
        <w:t>autorisé</w:t>
      </w:r>
      <w:r>
        <w:rPr>
          <w:rFonts w:asciiTheme="minorHAnsi" w:hAnsiTheme="minorHAnsi" w:cstheme="minorHAnsi"/>
          <w:color w:val="4D445D"/>
        </w:rPr>
        <w:t> : les montants sont à saisir en 120 (résultat excédentaire) ou 129 (résultat déficitaire)</w:t>
      </w:r>
    </w:p>
    <w:p w14:paraId="2E3DA58B" w14:textId="261E5624" w:rsidR="00C30071" w:rsidRPr="000B550E" w:rsidRDefault="00C30071" w:rsidP="000B550E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Aucun montant ne doit être inférieur à zéro. Si un montant est présent en négatif au débit de votre balance, mettez au crédit avec un signe positif ou</w:t>
      </w:r>
      <w:r w:rsidR="007D3BC0">
        <w:rPr>
          <w:rFonts w:asciiTheme="minorHAnsi" w:hAnsiTheme="minorHAnsi" w:cstheme="minorHAnsi"/>
          <w:color w:val="4D445D"/>
        </w:rPr>
        <w:t xml:space="preserve"> le</w:t>
      </w:r>
      <w:r w:rsidRPr="00C255F6">
        <w:rPr>
          <w:rFonts w:asciiTheme="minorHAnsi" w:hAnsiTheme="minorHAnsi" w:cstheme="minorHAnsi"/>
          <w:color w:val="4D445D"/>
        </w:rPr>
        <w:t xml:space="preserve"> netter sur un compte de même titre.</w:t>
      </w:r>
      <w:r w:rsidR="007D3BC0">
        <w:rPr>
          <w:rFonts w:asciiTheme="minorHAnsi" w:hAnsiTheme="minorHAnsi" w:cstheme="minorHAnsi"/>
          <w:color w:val="4D445D"/>
        </w:rPr>
        <w:t xml:space="preserve"> Les soldes des comptes de charges doivent être débiteurs et les soldes de comptes de produits créditeurs (sauf les comptes en 9).</w:t>
      </w:r>
    </w:p>
    <w:p w14:paraId="728E7F13" w14:textId="77777777" w:rsidR="004D77DE" w:rsidRPr="004D77DE" w:rsidRDefault="00C30071" w:rsidP="004D77DE">
      <w:pPr>
        <w:pStyle w:val="Paragraphedeliste"/>
        <w:numPr>
          <w:ilvl w:val="0"/>
          <w:numId w:val="1"/>
        </w:numPr>
        <w:tabs>
          <w:tab w:val="left" w:pos="1114"/>
        </w:tabs>
        <w:spacing w:before="10" w:line="276" w:lineRule="auto"/>
        <w:ind w:right="107"/>
        <w:jc w:val="left"/>
        <w:rPr>
          <w:sz w:val="32"/>
        </w:rPr>
      </w:pPr>
      <w:r w:rsidRPr="004D77DE">
        <w:rPr>
          <w:rFonts w:asciiTheme="minorHAnsi" w:hAnsiTheme="minorHAnsi" w:cstheme="minorHAnsi"/>
          <w:color w:val="4D445D"/>
        </w:rPr>
        <w:t xml:space="preserve">Le remplissage par sections tarifaires peut se faire par import (on remplacera la lettre E par E_HEB, E_SOI, E_DEP par exemple), ou en saisie sur Excel. </w:t>
      </w:r>
    </w:p>
    <w:p w14:paraId="62A954AE" w14:textId="6A70558A" w:rsidR="00387F46" w:rsidRPr="004D77DE" w:rsidRDefault="00C255F6" w:rsidP="004D77DE">
      <w:pPr>
        <w:pStyle w:val="Paragraphedeliste"/>
        <w:tabs>
          <w:tab w:val="left" w:pos="1114"/>
        </w:tabs>
        <w:spacing w:before="10" w:line="276" w:lineRule="auto"/>
        <w:ind w:left="0" w:right="107" w:firstLine="0"/>
        <w:jc w:val="left"/>
        <w:rPr>
          <w:sz w:val="3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7B6A37" wp14:editId="5DA67FAB">
            <wp:simplePos x="0" y="0"/>
            <wp:positionH relativeFrom="page">
              <wp:posOffset>724534</wp:posOffset>
            </wp:positionH>
            <wp:positionV relativeFrom="paragraph">
              <wp:posOffset>153035</wp:posOffset>
            </wp:positionV>
            <wp:extent cx="457200" cy="457199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27CAB" w14:textId="77777777" w:rsidR="00C255F6" w:rsidRDefault="00977482" w:rsidP="00C255F6">
      <w:pPr>
        <w:spacing w:line="276" w:lineRule="auto"/>
        <w:ind w:left="786" w:firstLine="654"/>
        <w:rPr>
          <w:rFonts w:ascii="Arial" w:hAnsi="Arial"/>
          <w:b/>
          <w:color w:val="00B0F0"/>
        </w:rPr>
      </w:pPr>
      <w:r w:rsidRPr="00C255F6">
        <w:rPr>
          <w:rFonts w:ascii="Arial" w:hAnsi="Arial"/>
          <w:b/>
          <w:color w:val="00B0F0"/>
        </w:rPr>
        <w:t>Check-List</w:t>
      </w:r>
      <w:r w:rsidRPr="00C255F6">
        <w:rPr>
          <w:rFonts w:ascii="Arial" w:hAnsi="Arial"/>
          <w:b/>
          <w:color w:val="00B0F0"/>
          <w:spacing w:val="-3"/>
        </w:rPr>
        <w:t xml:space="preserve"> </w:t>
      </w:r>
      <w:r w:rsidRPr="00C255F6">
        <w:rPr>
          <w:rFonts w:ascii="Arial" w:hAnsi="Arial"/>
          <w:b/>
          <w:color w:val="00B0F0"/>
        </w:rPr>
        <w:t>pour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une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bonne</w:t>
      </w:r>
      <w:r w:rsidRPr="00C255F6">
        <w:rPr>
          <w:rFonts w:ascii="Arial" w:hAnsi="Arial"/>
          <w:b/>
          <w:color w:val="00B0F0"/>
          <w:spacing w:val="-4"/>
        </w:rPr>
        <w:t xml:space="preserve"> </w:t>
      </w:r>
      <w:r w:rsidRPr="00C255F6">
        <w:rPr>
          <w:rFonts w:ascii="Arial" w:hAnsi="Arial"/>
          <w:b/>
          <w:color w:val="00B0F0"/>
        </w:rPr>
        <w:t>saisie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des</w:t>
      </w:r>
      <w:r w:rsidRPr="00C255F6">
        <w:rPr>
          <w:rFonts w:ascii="Arial" w:hAnsi="Arial"/>
          <w:b/>
          <w:color w:val="00B0F0"/>
          <w:spacing w:val="-2"/>
        </w:rPr>
        <w:t xml:space="preserve"> </w:t>
      </w:r>
      <w:r w:rsidRPr="00C255F6">
        <w:rPr>
          <w:rFonts w:ascii="Arial" w:hAnsi="Arial"/>
          <w:b/>
          <w:color w:val="00B0F0"/>
        </w:rPr>
        <w:t>données</w:t>
      </w:r>
      <w:r w:rsidR="00C255F6">
        <w:rPr>
          <w:rFonts w:ascii="Arial" w:hAnsi="Arial"/>
          <w:b/>
          <w:color w:val="00B0F0"/>
        </w:rPr>
        <w:t xml:space="preserve"> </w:t>
      </w:r>
    </w:p>
    <w:p w14:paraId="67155D59" w14:textId="77777777" w:rsidR="00387F46" w:rsidRPr="00C255F6" w:rsidRDefault="00977482" w:rsidP="00C255F6">
      <w:pPr>
        <w:spacing w:line="276" w:lineRule="auto"/>
        <w:ind w:left="786" w:firstLine="654"/>
        <w:rPr>
          <w:rFonts w:ascii="Arial" w:hAnsi="Arial"/>
          <w:b/>
          <w:i/>
          <w:color w:val="00B0F0"/>
        </w:rPr>
      </w:pPr>
      <w:r w:rsidRPr="00C255F6">
        <w:rPr>
          <w:rFonts w:asciiTheme="minorHAnsi" w:hAnsiTheme="minorHAnsi" w:cstheme="minorHAnsi"/>
          <w:i/>
          <w:color w:val="4D445D"/>
          <w:sz w:val="20"/>
        </w:rPr>
        <w:t>(</w:t>
      </w:r>
      <w:r w:rsidR="00950C09" w:rsidRPr="00C255F6">
        <w:rPr>
          <w:rFonts w:asciiTheme="minorHAnsi" w:hAnsiTheme="minorHAnsi" w:cstheme="minorHAnsi"/>
          <w:i/>
          <w:color w:val="4D445D"/>
          <w:sz w:val="20"/>
        </w:rPr>
        <w:t>C</w:t>
      </w:r>
      <w:r w:rsidRPr="00C255F6">
        <w:rPr>
          <w:rFonts w:asciiTheme="minorHAnsi" w:hAnsiTheme="minorHAnsi" w:cstheme="minorHAnsi"/>
          <w:i/>
          <w:color w:val="4D445D"/>
          <w:sz w:val="20"/>
        </w:rPr>
        <w:t>adre</w:t>
      </w:r>
      <w:r w:rsidRPr="00C255F6">
        <w:rPr>
          <w:rFonts w:asciiTheme="minorHAnsi" w:hAnsiTheme="minorHAnsi" w:cstheme="minorHAnsi"/>
          <w:i/>
          <w:color w:val="4D445D"/>
          <w:spacing w:val="-5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des données</w:t>
      </w:r>
      <w:r w:rsidRPr="00C255F6">
        <w:rPr>
          <w:rFonts w:asciiTheme="minorHAnsi" w:hAnsiTheme="minorHAnsi" w:cstheme="minorHAnsi"/>
          <w:i/>
          <w:color w:val="4D445D"/>
          <w:spacing w:val="-1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brutes vers tableaux</w:t>
      </w:r>
      <w:r w:rsidRPr="00C255F6">
        <w:rPr>
          <w:rFonts w:asciiTheme="minorHAnsi" w:hAnsiTheme="minorHAnsi" w:cstheme="minorHAnsi"/>
          <w:i/>
          <w:color w:val="4D445D"/>
          <w:spacing w:val="-5"/>
          <w:sz w:val="20"/>
        </w:rPr>
        <w:t xml:space="preserve"> </w:t>
      </w:r>
      <w:r w:rsidRPr="00C255F6">
        <w:rPr>
          <w:rFonts w:asciiTheme="minorHAnsi" w:hAnsiTheme="minorHAnsi" w:cstheme="minorHAnsi"/>
          <w:i/>
          <w:color w:val="4D445D"/>
          <w:sz w:val="20"/>
        </w:rPr>
        <w:t>réglementaires)</w:t>
      </w:r>
    </w:p>
    <w:p w14:paraId="39AB0622" w14:textId="77777777" w:rsidR="00387F46" w:rsidRPr="00C255F6" w:rsidRDefault="00387F46" w:rsidP="00AC2F59">
      <w:pPr>
        <w:pStyle w:val="Corpsdetexte"/>
        <w:spacing w:before="5" w:line="276" w:lineRule="auto"/>
        <w:ind w:left="0"/>
        <w:jc w:val="left"/>
        <w:rPr>
          <w:rFonts w:asciiTheme="minorHAnsi" w:hAnsiTheme="minorHAnsi" w:cstheme="minorHAnsi"/>
        </w:rPr>
      </w:pPr>
    </w:p>
    <w:p w14:paraId="71172848" w14:textId="59955141" w:rsidR="00387F46" w:rsidRPr="00C255F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ind w:right="108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Il est conseillé d’utiliser le cadre des données brutes Excel pour la saisie des données</w:t>
      </w:r>
      <w:r w:rsidR="00B923F5">
        <w:rPr>
          <w:rFonts w:asciiTheme="minorHAnsi" w:hAnsiTheme="minorHAnsi" w:cstheme="minorHAnsi"/>
          <w:color w:val="4D445D"/>
        </w:rPr>
        <w:t>, puis cliquer sur le bouton bleu en haut des onglets pour générer le fichier .csv à importer sur ANCRE.</w:t>
      </w:r>
    </w:p>
    <w:p w14:paraId="20713B82" w14:textId="202BCE9B" w:rsidR="00387F46" w:rsidRPr="000B550E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rPr>
          <w:rFonts w:asciiTheme="minorHAnsi" w:hAnsiTheme="minorHAnsi" w:cstheme="minorHAnsi"/>
          <w:sz w:val="24"/>
        </w:rPr>
      </w:pPr>
      <w:r w:rsidRPr="00C255F6">
        <w:rPr>
          <w:rFonts w:asciiTheme="minorHAnsi" w:hAnsiTheme="minorHAnsi" w:cstheme="minorHAnsi"/>
          <w:color w:val="4D445D"/>
          <w:spacing w:val="-1"/>
        </w:rPr>
        <w:t>Toutes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les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cellules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du</w:t>
      </w:r>
      <w:r w:rsidRPr="00C255F6">
        <w:rPr>
          <w:rFonts w:asciiTheme="minorHAnsi" w:hAnsiTheme="minorHAnsi" w:cstheme="minorHAnsi"/>
          <w:color w:val="4D445D"/>
          <w:spacing w:val="-13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cadre</w:t>
      </w:r>
      <w:r w:rsidRPr="00C255F6">
        <w:rPr>
          <w:rFonts w:asciiTheme="minorHAnsi" w:hAnsiTheme="minorHAnsi" w:cstheme="minorHAnsi"/>
          <w:color w:val="4D445D"/>
          <w:spacing w:val="-8"/>
        </w:rPr>
        <w:t xml:space="preserve"> </w:t>
      </w:r>
      <w:r w:rsidRPr="00C255F6">
        <w:rPr>
          <w:rFonts w:asciiTheme="minorHAnsi" w:hAnsiTheme="minorHAnsi" w:cstheme="minorHAnsi"/>
          <w:color w:val="4D445D"/>
          <w:spacing w:val="-1"/>
        </w:rPr>
        <w:t>des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données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brutes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sous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fond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jaune</w:t>
      </w:r>
      <w:r w:rsidRPr="00C255F6">
        <w:rPr>
          <w:rFonts w:asciiTheme="minorHAnsi" w:hAnsiTheme="minorHAnsi" w:cstheme="minorHAnsi"/>
          <w:color w:val="4D445D"/>
          <w:spacing w:val="-8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sont</w:t>
      </w:r>
      <w:r w:rsidRPr="00C255F6">
        <w:rPr>
          <w:rFonts w:asciiTheme="minorHAnsi" w:hAnsiTheme="minorHAnsi" w:cstheme="minorHAnsi"/>
          <w:color w:val="4D445D"/>
          <w:spacing w:val="-10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potentiellement</w:t>
      </w:r>
      <w:r w:rsidRPr="00C255F6">
        <w:rPr>
          <w:rFonts w:asciiTheme="minorHAnsi" w:hAnsiTheme="minorHAnsi" w:cstheme="minorHAnsi"/>
          <w:color w:val="4D445D"/>
          <w:spacing w:val="-13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à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="00950C09" w:rsidRPr="00C255F6">
        <w:rPr>
          <w:rFonts w:asciiTheme="minorHAnsi" w:hAnsiTheme="minorHAnsi" w:cstheme="minorHAnsi"/>
          <w:color w:val="4D445D"/>
        </w:rPr>
        <w:t>saisir</w:t>
      </w:r>
      <w:r w:rsidRPr="00C255F6">
        <w:rPr>
          <w:rFonts w:asciiTheme="minorHAnsi" w:hAnsiTheme="minorHAnsi" w:cstheme="minorHAnsi"/>
          <w:color w:val="4D445D"/>
          <w:spacing w:val="-12"/>
        </w:rPr>
        <w:t xml:space="preserve"> </w:t>
      </w:r>
      <w:r w:rsidR="00950C09" w:rsidRPr="00C255F6">
        <w:rPr>
          <w:rFonts w:asciiTheme="minorHAnsi" w:hAnsiTheme="minorHAnsi" w:cstheme="minorHAnsi"/>
          <w:color w:val="4D445D"/>
        </w:rPr>
        <w:t>afin</w:t>
      </w:r>
      <w:r w:rsidRPr="00C255F6">
        <w:rPr>
          <w:rFonts w:asciiTheme="minorHAnsi" w:hAnsiTheme="minorHAnsi" w:cstheme="minorHAnsi"/>
          <w:color w:val="4D445D"/>
          <w:spacing w:val="-45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 xml:space="preserve">de </w:t>
      </w:r>
      <w:r w:rsidR="00950C09" w:rsidRPr="00C255F6">
        <w:rPr>
          <w:rFonts w:asciiTheme="minorHAnsi" w:hAnsiTheme="minorHAnsi" w:cstheme="minorHAnsi"/>
          <w:color w:val="4D445D"/>
        </w:rPr>
        <w:t>permettre l’alimentation d</w:t>
      </w:r>
      <w:r w:rsidRPr="00C255F6">
        <w:rPr>
          <w:rFonts w:asciiTheme="minorHAnsi" w:hAnsiTheme="minorHAnsi" w:cstheme="minorHAnsi"/>
          <w:color w:val="4D445D"/>
        </w:rPr>
        <w:t>es tableaux réglementaires</w:t>
      </w:r>
      <w:r w:rsidR="00CE52A5">
        <w:rPr>
          <w:rFonts w:asciiTheme="minorHAnsi" w:hAnsiTheme="minorHAnsi" w:cstheme="minorHAnsi"/>
          <w:color w:val="4D445D"/>
        </w:rPr>
        <w:t>.</w:t>
      </w:r>
    </w:p>
    <w:p w14:paraId="4BA1C13D" w14:textId="6BB7FCEB" w:rsidR="000B550E" w:rsidRPr="00C255F6" w:rsidRDefault="000B550E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27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4D445D"/>
        </w:rPr>
        <w:t>Pour les EPS, les cellules mauves peuvent être alimentées par import du fichier DGFIP.</w:t>
      </w:r>
    </w:p>
    <w:p w14:paraId="3304ACB0" w14:textId="645F1310" w:rsidR="00387F46" w:rsidRPr="00C255F6" w:rsidRDefault="00246199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line="276" w:lineRule="auto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>Les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bouton</w:t>
      </w:r>
      <w:r w:rsidRPr="00C255F6">
        <w:rPr>
          <w:rFonts w:asciiTheme="minorHAnsi" w:hAnsiTheme="minorHAnsi" w:cstheme="minorHAnsi"/>
          <w:color w:val="4D445D"/>
        </w:rPr>
        <w:t>s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CE52A5">
        <w:rPr>
          <w:rFonts w:asciiTheme="minorHAnsi" w:hAnsiTheme="minorHAnsi" w:cstheme="minorHAnsi"/>
          <w:color w:val="4D445D"/>
          <w:spacing w:val="1"/>
        </w:rPr>
        <w:t xml:space="preserve">bleus </w:t>
      </w:r>
      <w:r w:rsidR="00977482" w:rsidRPr="00C255F6">
        <w:rPr>
          <w:rFonts w:asciiTheme="minorHAnsi" w:hAnsiTheme="minorHAnsi" w:cstheme="minorHAnsi"/>
          <w:color w:val="4D445D"/>
        </w:rPr>
        <w:t>« Générer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fichier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d’import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pour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la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plateforme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saisie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en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ligne »</w:t>
      </w:r>
      <w:r w:rsidRPr="00C255F6">
        <w:rPr>
          <w:rFonts w:asciiTheme="minorHAnsi" w:hAnsiTheme="minorHAnsi" w:cstheme="minorHAnsi"/>
          <w:color w:val="4D445D"/>
        </w:rPr>
        <w:t xml:space="preserve"> présents dans le fichier Excel</w:t>
      </w:r>
      <w:r w:rsidR="00977482" w:rsidRPr="00C255F6">
        <w:rPr>
          <w:rFonts w:asciiTheme="minorHAnsi" w:hAnsiTheme="minorHAnsi" w:cstheme="minorHAnsi"/>
          <w:color w:val="4D445D"/>
        </w:rPr>
        <w:t xml:space="preserve"> permet</w:t>
      </w:r>
      <w:r w:rsidRPr="00C255F6">
        <w:rPr>
          <w:rFonts w:asciiTheme="minorHAnsi" w:hAnsiTheme="minorHAnsi" w:cstheme="minorHAnsi"/>
          <w:color w:val="4D445D"/>
          <w:spacing w:val="1"/>
        </w:rPr>
        <w:t xml:space="preserve">tent </w:t>
      </w:r>
      <w:r w:rsidR="00977482" w:rsidRPr="00C255F6">
        <w:rPr>
          <w:rFonts w:asciiTheme="minorHAnsi" w:hAnsiTheme="minorHAnsi" w:cstheme="minorHAnsi"/>
          <w:color w:val="4D445D"/>
        </w:rPr>
        <w:t>de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>créer</w:t>
      </w:r>
      <w:r w:rsidR="00977482" w:rsidRPr="00C255F6">
        <w:rPr>
          <w:rFonts w:asciiTheme="minorHAnsi" w:hAnsiTheme="minorHAnsi" w:cstheme="minorHAnsi"/>
          <w:color w:val="4D445D"/>
          <w:spacing w:val="1"/>
        </w:rPr>
        <w:t xml:space="preserve"> </w:t>
      </w:r>
      <w:r w:rsidR="00977482" w:rsidRPr="00C255F6">
        <w:rPr>
          <w:rFonts w:asciiTheme="minorHAnsi" w:hAnsiTheme="minorHAnsi" w:cstheme="minorHAnsi"/>
          <w:color w:val="4D445D"/>
        </w:rPr>
        <w:t xml:space="preserve">l’intégralité du fichier </w:t>
      </w:r>
      <w:r w:rsidR="009C0529" w:rsidRPr="00C255F6">
        <w:rPr>
          <w:rFonts w:asciiTheme="minorHAnsi" w:hAnsiTheme="minorHAnsi" w:cstheme="minorHAnsi"/>
          <w:color w:val="4D445D"/>
        </w:rPr>
        <w:t>.</w:t>
      </w:r>
      <w:r w:rsidR="00977482" w:rsidRPr="00C255F6">
        <w:rPr>
          <w:rFonts w:asciiTheme="minorHAnsi" w:hAnsiTheme="minorHAnsi" w:cstheme="minorHAnsi"/>
          <w:color w:val="4D445D"/>
        </w:rPr>
        <w:t xml:space="preserve">txt </w:t>
      </w:r>
      <w:r w:rsidR="009C0529" w:rsidRPr="00C255F6">
        <w:rPr>
          <w:rFonts w:asciiTheme="minorHAnsi" w:hAnsiTheme="minorHAnsi" w:cstheme="minorHAnsi"/>
          <w:color w:val="4D445D"/>
        </w:rPr>
        <w:t>à importer sur</w:t>
      </w:r>
      <w:r w:rsidR="00977482" w:rsidRPr="00C255F6">
        <w:rPr>
          <w:rFonts w:asciiTheme="minorHAnsi" w:hAnsiTheme="minorHAnsi" w:cstheme="minorHAnsi"/>
          <w:color w:val="4D445D"/>
        </w:rPr>
        <w:t xml:space="preserve"> la plateforme. </w:t>
      </w:r>
    </w:p>
    <w:p w14:paraId="5561BA32" w14:textId="1177DDD9" w:rsidR="009C0529" w:rsidRPr="00C255F6" w:rsidRDefault="00246199" w:rsidP="00CE52A5">
      <w:pPr>
        <w:pStyle w:val="Paragraphedeliste"/>
        <w:numPr>
          <w:ilvl w:val="0"/>
          <w:numId w:val="1"/>
        </w:numPr>
        <w:tabs>
          <w:tab w:val="left" w:pos="1114"/>
        </w:tabs>
        <w:spacing w:before="9" w:line="276" w:lineRule="auto"/>
        <w:ind w:left="777" w:right="113" w:hanging="357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Les comptes gris foncé sont verrouillés, en effet, pour remplir les tableaux réglementaires la saisie doit être </w:t>
      </w:r>
      <w:r w:rsidR="00176643">
        <w:rPr>
          <w:rFonts w:asciiTheme="minorHAnsi" w:hAnsiTheme="minorHAnsi" w:cstheme="minorHAnsi"/>
          <w:color w:val="4D445D"/>
        </w:rPr>
        <w:t>réalis</w:t>
      </w:r>
      <w:r w:rsidR="00CE52A5">
        <w:rPr>
          <w:rFonts w:asciiTheme="minorHAnsi" w:hAnsiTheme="minorHAnsi" w:cstheme="minorHAnsi"/>
          <w:color w:val="4D445D"/>
        </w:rPr>
        <w:t>ée</w:t>
      </w:r>
      <w:r w:rsidRPr="00C255F6">
        <w:rPr>
          <w:rFonts w:asciiTheme="minorHAnsi" w:hAnsiTheme="minorHAnsi" w:cstheme="minorHAnsi"/>
          <w:color w:val="4D445D"/>
        </w:rPr>
        <w:t xml:space="preserve"> </w:t>
      </w:r>
      <w:r w:rsidR="00176643">
        <w:rPr>
          <w:rFonts w:asciiTheme="minorHAnsi" w:hAnsiTheme="minorHAnsi" w:cstheme="minorHAnsi"/>
          <w:color w:val="4D445D"/>
        </w:rPr>
        <w:t>sur</w:t>
      </w:r>
      <w:r w:rsidRPr="00C255F6">
        <w:rPr>
          <w:rFonts w:asciiTheme="minorHAnsi" w:hAnsiTheme="minorHAnsi" w:cstheme="minorHAnsi"/>
          <w:color w:val="4D445D"/>
        </w:rPr>
        <w:t xml:space="preserve"> un niveau de compte</w:t>
      </w:r>
      <w:r w:rsidR="00CE52A5">
        <w:rPr>
          <w:rFonts w:asciiTheme="minorHAnsi" w:hAnsiTheme="minorHAnsi" w:cstheme="minorHAnsi"/>
          <w:color w:val="4D445D"/>
        </w:rPr>
        <w:t>s</w:t>
      </w:r>
      <w:r w:rsidRPr="00C255F6">
        <w:rPr>
          <w:rFonts w:asciiTheme="minorHAnsi" w:hAnsiTheme="minorHAnsi" w:cstheme="minorHAnsi"/>
          <w:color w:val="4D445D"/>
        </w:rPr>
        <w:t xml:space="preserve"> plus fin.</w:t>
      </w:r>
    </w:p>
    <w:p w14:paraId="2130FD56" w14:textId="4989AFA3" w:rsidR="00387F46" w:rsidRDefault="00977482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35" w:line="276" w:lineRule="auto"/>
        <w:ind w:right="108"/>
        <w:rPr>
          <w:rFonts w:asciiTheme="minorHAnsi" w:hAnsiTheme="minorHAnsi" w:cstheme="minorHAnsi"/>
          <w:color w:val="4D445D"/>
        </w:rPr>
      </w:pPr>
      <w:r w:rsidRPr="00C255F6">
        <w:rPr>
          <w:rFonts w:asciiTheme="minorHAnsi" w:hAnsiTheme="minorHAnsi" w:cstheme="minorHAnsi"/>
          <w:color w:val="4D445D"/>
        </w:rPr>
        <w:t xml:space="preserve">Les données de </w:t>
      </w:r>
      <w:r w:rsidR="00246199" w:rsidRPr="00C255F6">
        <w:rPr>
          <w:rFonts w:asciiTheme="minorHAnsi" w:hAnsiTheme="minorHAnsi" w:cstheme="minorHAnsi"/>
          <w:color w:val="4D445D"/>
        </w:rPr>
        <w:t xml:space="preserve">variation de </w:t>
      </w:r>
      <w:r w:rsidRPr="00C255F6">
        <w:rPr>
          <w:rFonts w:asciiTheme="minorHAnsi" w:hAnsiTheme="minorHAnsi" w:cstheme="minorHAnsi"/>
          <w:color w:val="4D445D"/>
        </w:rPr>
        <w:t>stocks sont à compléter dans le cadre des données brutes dans l’onglet prévu à cet effet</w:t>
      </w:r>
      <w:r w:rsidR="00241AF6">
        <w:rPr>
          <w:rFonts w:asciiTheme="minorHAnsi" w:hAnsiTheme="minorHAnsi" w:cstheme="minorHAnsi"/>
          <w:color w:val="4D445D"/>
        </w:rPr>
        <w:t xml:space="preserve"> </w:t>
      </w:r>
      <w:r w:rsidRPr="00C255F6">
        <w:rPr>
          <w:rFonts w:asciiTheme="minorHAnsi" w:hAnsiTheme="minorHAnsi" w:cstheme="minorHAnsi"/>
          <w:color w:val="4D445D"/>
        </w:rPr>
        <w:t>(STOCKS).</w:t>
      </w:r>
    </w:p>
    <w:p w14:paraId="4223D64F" w14:textId="56A3ECCD" w:rsidR="00CE52A5" w:rsidRPr="00C255F6" w:rsidRDefault="00CE52A5" w:rsidP="00AC2F59">
      <w:pPr>
        <w:pStyle w:val="Paragraphedeliste"/>
        <w:numPr>
          <w:ilvl w:val="0"/>
          <w:numId w:val="1"/>
        </w:numPr>
        <w:tabs>
          <w:tab w:val="left" w:pos="1114"/>
        </w:tabs>
        <w:spacing w:before="35" w:line="276" w:lineRule="auto"/>
        <w:ind w:right="108"/>
        <w:rPr>
          <w:rFonts w:asciiTheme="minorHAnsi" w:hAnsiTheme="minorHAnsi" w:cstheme="minorHAnsi"/>
          <w:color w:val="4D445D"/>
        </w:rPr>
      </w:pPr>
      <w:r>
        <w:rPr>
          <w:rFonts w:asciiTheme="minorHAnsi" w:hAnsiTheme="minorHAnsi" w:cstheme="minorHAnsi"/>
          <w:color w:val="4D445D"/>
        </w:rPr>
        <w:t>Afin d’alimenter correctement les onglets D1 à D6, les comptes de RAN (110x et 119x) doivent être alimentés au niveau le plus fin de la M21.</w:t>
      </w:r>
      <w:r w:rsidR="00514265">
        <w:rPr>
          <w:rFonts w:asciiTheme="minorHAnsi" w:hAnsiTheme="minorHAnsi" w:cstheme="minorHAnsi"/>
          <w:color w:val="4D445D"/>
        </w:rPr>
        <w:t xml:space="preserve"> Les comptes 110 et 119 sont donc fermés à la saisie.</w:t>
      </w:r>
    </w:p>
    <w:p w14:paraId="40B4BC73" w14:textId="77777777" w:rsidR="00387F46" w:rsidRDefault="00387F46">
      <w:pPr>
        <w:pStyle w:val="Corpsdetexte"/>
        <w:ind w:left="0"/>
        <w:jc w:val="left"/>
        <w:rPr>
          <w:sz w:val="20"/>
        </w:rPr>
      </w:pPr>
    </w:p>
    <w:p w14:paraId="70AE6A01" w14:textId="77777777" w:rsidR="00387F46" w:rsidRDefault="00387F46">
      <w:pPr>
        <w:pStyle w:val="Corpsdetexte"/>
        <w:spacing w:before="7"/>
        <w:ind w:left="0"/>
        <w:jc w:val="left"/>
        <w:rPr>
          <w:sz w:val="20"/>
        </w:rPr>
      </w:pPr>
    </w:p>
    <w:sectPr w:rsidR="00387F46">
      <w:type w:val="continuous"/>
      <w:pgSz w:w="11910" w:h="16840"/>
      <w:pgMar w:top="380" w:right="11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47EAB"/>
    <w:multiLevelType w:val="hybridMultilevel"/>
    <w:tmpl w:val="0818C8F4"/>
    <w:lvl w:ilvl="0" w:tplc="8124BE2E">
      <w:start w:val="1"/>
      <w:numFmt w:val="bullet"/>
      <w:lvlText w:val=""/>
      <w:lvlJc w:val="left"/>
      <w:pPr>
        <w:ind w:left="774" w:hanging="360"/>
      </w:pPr>
      <w:rPr>
        <w:rFonts w:ascii="Wingdings" w:hAnsi="Wingdings" w:hint="default"/>
        <w:b w:val="0"/>
        <w:bCs w:val="0"/>
        <w:w w:val="100"/>
        <w:sz w:val="24"/>
        <w:szCs w:val="24"/>
        <w:lang w:val="fr-FR" w:eastAsia="en-US" w:bidi="ar-SA"/>
      </w:rPr>
    </w:lvl>
    <w:lvl w:ilvl="1" w:tplc="A022BA92">
      <w:numFmt w:val="bullet"/>
      <w:lvlText w:val="•"/>
      <w:lvlJc w:val="left"/>
      <w:pPr>
        <w:ind w:left="1683" w:hanging="360"/>
      </w:pPr>
      <w:rPr>
        <w:rFonts w:hint="default"/>
        <w:lang w:val="fr-FR" w:eastAsia="en-US" w:bidi="ar-SA"/>
      </w:rPr>
    </w:lvl>
    <w:lvl w:ilvl="2" w:tplc="2D42C134">
      <w:numFmt w:val="bullet"/>
      <w:lvlText w:val="•"/>
      <w:lvlJc w:val="left"/>
      <w:pPr>
        <w:ind w:left="2586" w:hanging="360"/>
      </w:pPr>
      <w:rPr>
        <w:rFonts w:hint="default"/>
        <w:lang w:val="fr-FR" w:eastAsia="en-US" w:bidi="ar-SA"/>
      </w:rPr>
    </w:lvl>
    <w:lvl w:ilvl="3" w:tplc="64D813FA">
      <w:numFmt w:val="bullet"/>
      <w:lvlText w:val="•"/>
      <w:lvlJc w:val="left"/>
      <w:pPr>
        <w:ind w:left="3488" w:hanging="360"/>
      </w:pPr>
      <w:rPr>
        <w:rFonts w:hint="default"/>
        <w:lang w:val="fr-FR" w:eastAsia="en-US" w:bidi="ar-SA"/>
      </w:rPr>
    </w:lvl>
    <w:lvl w:ilvl="4" w:tplc="CA60484C">
      <w:numFmt w:val="bullet"/>
      <w:lvlText w:val="•"/>
      <w:lvlJc w:val="left"/>
      <w:pPr>
        <w:ind w:left="4391" w:hanging="360"/>
      </w:pPr>
      <w:rPr>
        <w:rFonts w:hint="default"/>
        <w:lang w:val="fr-FR" w:eastAsia="en-US" w:bidi="ar-SA"/>
      </w:rPr>
    </w:lvl>
    <w:lvl w:ilvl="5" w:tplc="ECC0288C">
      <w:numFmt w:val="bullet"/>
      <w:lvlText w:val="•"/>
      <w:lvlJc w:val="left"/>
      <w:pPr>
        <w:ind w:left="5294" w:hanging="360"/>
      </w:pPr>
      <w:rPr>
        <w:rFonts w:hint="default"/>
        <w:lang w:val="fr-FR" w:eastAsia="en-US" w:bidi="ar-SA"/>
      </w:rPr>
    </w:lvl>
    <w:lvl w:ilvl="6" w:tplc="C7E08902">
      <w:numFmt w:val="bullet"/>
      <w:lvlText w:val="•"/>
      <w:lvlJc w:val="left"/>
      <w:pPr>
        <w:ind w:left="6196" w:hanging="360"/>
      </w:pPr>
      <w:rPr>
        <w:rFonts w:hint="default"/>
        <w:lang w:val="fr-FR" w:eastAsia="en-US" w:bidi="ar-SA"/>
      </w:rPr>
    </w:lvl>
    <w:lvl w:ilvl="7" w:tplc="A95A8A54">
      <w:numFmt w:val="bullet"/>
      <w:lvlText w:val="•"/>
      <w:lvlJc w:val="left"/>
      <w:pPr>
        <w:ind w:left="7099" w:hanging="360"/>
      </w:pPr>
      <w:rPr>
        <w:rFonts w:hint="default"/>
        <w:lang w:val="fr-FR" w:eastAsia="en-US" w:bidi="ar-SA"/>
      </w:rPr>
    </w:lvl>
    <w:lvl w:ilvl="8" w:tplc="5CD833BA">
      <w:numFmt w:val="bullet"/>
      <w:lvlText w:val="•"/>
      <w:lvlJc w:val="left"/>
      <w:pPr>
        <w:ind w:left="8002" w:hanging="360"/>
      </w:pPr>
      <w:rPr>
        <w:rFonts w:hint="default"/>
        <w:lang w:val="fr-FR" w:eastAsia="en-US" w:bidi="ar-SA"/>
      </w:rPr>
    </w:lvl>
  </w:abstractNum>
  <w:num w:numId="1" w16cid:durableId="20047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F46"/>
    <w:rsid w:val="00071100"/>
    <w:rsid w:val="000B550E"/>
    <w:rsid w:val="00157037"/>
    <w:rsid w:val="00176643"/>
    <w:rsid w:val="00201933"/>
    <w:rsid w:val="002247E8"/>
    <w:rsid w:val="00241AF6"/>
    <w:rsid w:val="00246199"/>
    <w:rsid w:val="00387F46"/>
    <w:rsid w:val="003926D3"/>
    <w:rsid w:val="003D1680"/>
    <w:rsid w:val="003E7BF0"/>
    <w:rsid w:val="004B6782"/>
    <w:rsid w:val="004D77DE"/>
    <w:rsid w:val="00514265"/>
    <w:rsid w:val="00570314"/>
    <w:rsid w:val="007D3BC0"/>
    <w:rsid w:val="008B11C5"/>
    <w:rsid w:val="008B592D"/>
    <w:rsid w:val="00921717"/>
    <w:rsid w:val="00950C09"/>
    <w:rsid w:val="00977482"/>
    <w:rsid w:val="009A68CC"/>
    <w:rsid w:val="009C0529"/>
    <w:rsid w:val="00A11085"/>
    <w:rsid w:val="00AC2F59"/>
    <w:rsid w:val="00B923F5"/>
    <w:rsid w:val="00C255F6"/>
    <w:rsid w:val="00C30071"/>
    <w:rsid w:val="00C7521D"/>
    <w:rsid w:val="00CE52A5"/>
    <w:rsid w:val="00D732D6"/>
    <w:rsid w:val="00DE740D"/>
    <w:rsid w:val="00DF7DB6"/>
    <w:rsid w:val="00E16972"/>
    <w:rsid w:val="00F06CFD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00EA"/>
  <w15:docId w15:val="{22082FCE-37C9-4F24-8BFB-84A6D44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13"/>
      <w:jc w:val="both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1"/>
      <w:ind w:left="1101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13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C2F5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ih.sante.fr/compte-financier-exercice-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Fiches Techniques_ Check List Â« IntÃ©gration et saisie des donnÃ©es Â»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Fiches Techniques_ Check List Â« IntÃ©gration et saisie des donnÃ©es Â»</dc:title>
  <dc:creator>skaidi</dc:creator>
  <cp:lastModifiedBy>Gaël PRIOL</cp:lastModifiedBy>
  <cp:revision>26</cp:revision>
  <dcterms:created xsi:type="dcterms:W3CDTF">2021-05-18T06:21:00Z</dcterms:created>
  <dcterms:modified xsi:type="dcterms:W3CDTF">2025-04-03T11:40:00Z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2021-05-18T00:00:00Z</vt:filetime>
  </property>
</Properties>
</file>