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E1D0" w14:textId="6705FE63" w:rsidR="00293F11" w:rsidRPr="003B7603" w:rsidRDefault="001E6ABD">
      <w:pPr>
        <w:pStyle w:val="Corpsdetexte"/>
        <w:spacing w:before="9"/>
        <w:rPr>
          <w:sz w:val="13"/>
        </w:rPr>
      </w:pPr>
      <w:r>
        <w:rPr>
          <w:b/>
          <w:noProof/>
          <w:color w:val="2B3BB2" w:themeColor="accent1"/>
          <w:lang w:val="fr-FR"/>
        </w:rPr>
        <w:drawing>
          <wp:anchor distT="0" distB="0" distL="114300" distR="114300" simplePos="0" relativeHeight="251658240" behindDoc="1" locked="0" layoutInCell="1" allowOverlap="1" wp14:anchorId="01BD375B" wp14:editId="4065F3AB">
            <wp:simplePos x="0" y="0"/>
            <wp:positionH relativeFrom="column">
              <wp:posOffset>-250304</wp:posOffset>
            </wp:positionH>
            <wp:positionV relativeFrom="paragraph">
              <wp:posOffset>569</wp:posOffset>
            </wp:positionV>
            <wp:extent cx="218821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437" y="21089"/>
                <wp:lineTo x="21437" y="0"/>
                <wp:lineTo x="0" y="0"/>
              </wp:wrapPolygon>
            </wp:wrapTight>
            <wp:docPr id="2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53"/>
                    <a:stretch/>
                  </pic:blipFill>
                  <pic:spPr bwMode="auto">
                    <a:xfrm>
                      <a:off x="0" y="0"/>
                      <a:ext cx="218821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95D6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714A3D3B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1A45DBF4" w14:textId="3D0FE878" w:rsidR="00293F11" w:rsidRPr="001E6ABD" w:rsidRDefault="00A323E0" w:rsidP="00A323E0">
      <w:pPr>
        <w:pStyle w:val="Titre1"/>
        <w:spacing w:line="273" w:lineRule="auto"/>
        <w:ind w:left="2441" w:right="2434"/>
        <w:jc w:val="center"/>
        <w:rPr>
          <w:b w:val="0"/>
          <w:color w:val="2B3BB2" w:themeColor="accent1"/>
          <w:lang w:val="fr-FR"/>
        </w:rPr>
      </w:pPr>
      <w:r w:rsidRPr="001E6ABD">
        <w:rPr>
          <w:color w:val="2B3BB2" w:themeColor="accent1"/>
          <w:lang w:val="fr-FR"/>
        </w:rPr>
        <w:t>Principales évolutions du cadre</w:t>
      </w:r>
      <w:r w:rsidR="007F72B5" w:rsidRPr="001E6ABD">
        <w:rPr>
          <w:color w:val="2B3BB2" w:themeColor="accent1"/>
          <w:lang w:val="fr-FR"/>
        </w:rPr>
        <w:t xml:space="preserve"> </w:t>
      </w:r>
      <w:r w:rsidR="002D3EFC" w:rsidRPr="001E6ABD">
        <w:rPr>
          <w:color w:val="2B3BB2" w:themeColor="accent1"/>
          <w:lang w:val="fr-FR"/>
        </w:rPr>
        <w:t>RIA 20</w:t>
      </w:r>
      <w:r w:rsidR="00A761DF" w:rsidRPr="001E6ABD">
        <w:rPr>
          <w:color w:val="2B3BB2" w:themeColor="accent1"/>
          <w:lang w:val="fr-FR"/>
        </w:rPr>
        <w:t>2</w:t>
      </w:r>
      <w:r w:rsidR="00205144">
        <w:rPr>
          <w:color w:val="2B3BB2" w:themeColor="accent1"/>
          <w:lang w:val="fr-FR"/>
        </w:rPr>
        <w:t>5</w:t>
      </w:r>
    </w:p>
    <w:p w14:paraId="0513EEFE" w14:textId="53159027" w:rsidR="00293F11" w:rsidRPr="003B7603" w:rsidRDefault="00293F11">
      <w:pPr>
        <w:pStyle w:val="Corpsdetexte"/>
        <w:spacing w:before="2"/>
        <w:rPr>
          <w:b/>
          <w:sz w:val="12"/>
          <w:lang w:val="fr-FR"/>
        </w:rPr>
      </w:pPr>
    </w:p>
    <w:p w14:paraId="783BC751" w14:textId="77777777" w:rsidR="009E3F6F" w:rsidRDefault="009E3F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11E569E" w14:textId="604A047D" w:rsidR="00EB53C0" w:rsidRPr="00FD6D30" w:rsidRDefault="00A323E0" w:rsidP="00A323E0">
      <w:pPr>
        <w:widowControl/>
        <w:autoSpaceDE/>
        <w:autoSpaceDN/>
        <w:rPr>
          <w:rFonts w:eastAsia="Times New Roman"/>
          <w:bCs/>
          <w:color w:val="000000"/>
          <w:sz w:val="20"/>
          <w:szCs w:val="20"/>
          <w:lang w:val="fr-FR" w:eastAsia="fr-FR"/>
        </w:rPr>
      </w:pPr>
      <w:r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Ce document retrace les princ</w:t>
      </w:r>
      <w:r w:rsidR="003E269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pales évolutions du cadre 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du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R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elevé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nfra-annuel (RIA)</w:t>
      </w:r>
      <w:r w:rsidR="002A307D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856758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20</w:t>
      </w:r>
      <w:r w:rsidR="00A761DF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</w:t>
      </w:r>
      <w:r w:rsidR="00352F7F">
        <w:rPr>
          <w:rFonts w:eastAsia="Times New Roman"/>
          <w:bCs/>
          <w:color w:val="000000"/>
          <w:sz w:val="20"/>
          <w:szCs w:val="20"/>
          <w:lang w:val="fr-FR" w:eastAsia="fr-FR"/>
        </w:rPr>
        <w:t>5</w:t>
      </w:r>
      <w:r w:rsidR="00FC60D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CF10A1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:</w:t>
      </w:r>
    </w:p>
    <w:p w14:paraId="55A216B4" w14:textId="77777777" w:rsidR="00CB766F" w:rsidRPr="003B7603" w:rsidRDefault="00CB76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3EDB175" w14:textId="24F38A46" w:rsidR="00EB53C0" w:rsidRPr="003B7603" w:rsidRDefault="00545725" w:rsidP="009212F9">
      <w:pPr>
        <w:pStyle w:val="Paragraphedeliste"/>
        <w:widowControl/>
        <w:numPr>
          <w:ilvl w:val="0"/>
          <w:numId w:val="12"/>
        </w:numPr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  <w:r w:rsidRPr="003B7603">
        <w:rPr>
          <w:rFonts w:eastAsia="Times New Roman"/>
          <w:b/>
          <w:bCs/>
          <w:color w:val="000000"/>
          <w:sz w:val="28"/>
          <w:lang w:val="fr-FR" w:eastAsia="fr-FR"/>
        </w:rPr>
        <w:t>Évolutions</w:t>
      </w:r>
      <w:r w:rsidR="0018391D" w:rsidRPr="003B7603">
        <w:rPr>
          <w:rFonts w:eastAsia="Times New Roman"/>
          <w:b/>
          <w:bCs/>
          <w:color w:val="000000"/>
          <w:sz w:val="28"/>
          <w:lang w:val="fr-FR" w:eastAsia="fr-FR"/>
        </w:rPr>
        <w:t xml:space="preserve"> du cadre réglementaire</w:t>
      </w:r>
    </w:p>
    <w:p w14:paraId="70BDA8F9" w14:textId="77777777" w:rsidR="00EB53C0" w:rsidRPr="003B7603" w:rsidRDefault="00EB53C0" w:rsidP="00EB53C0">
      <w:pPr>
        <w:widowControl/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7747"/>
      </w:tblGrid>
      <w:tr w:rsidR="00B44358" w:rsidRPr="003B7603" w14:paraId="08E402A2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1464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6B175D0" w14:textId="51018354" w:rsidR="00B44358" w:rsidRDefault="00B44358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2FE17B4D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7083FA2" w14:textId="718D630A" w:rsidR="00FD6D30" w:rsidRP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A6F4" w14:textId="42D73AAA" w:rsidR="00B44358" w:rsidRPr="00FD6D30" w:rsidRDefault="00B44358" w:rsidP="009212F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03753DF0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181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DEBEEA6" w14:textId="0744A1CB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Suivi_CRP</w:t>
            </w:r>
            <w:proofErr w:type="spellEnd"/>
          </w:p>
          <w:p w14:paraId="19049C44" w14:textId="4F2F137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Projection_détaillée_CRPP</w:t>
            </w:r>
            <w:proofErr w:type="spellEnd"/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21EB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</w:p>
          <w:p w14:paraId="28193730" w14:textId="07067B26" w:rsidR="007E068C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Onglets </w:t>
            </w:r>
            <w:proofErr w:type="spellStart"/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Suivi_CRP</w:t>
            </w:r>
            <w:proofErr w:type="spellEnd"/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 et </w:t>
            </w:r>
            <w:proofErr w:type="spellStart"/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Projection_detaillee_CRPP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0540EDD8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CED7DA4" w14:textId="05C790A5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Suppression d</w:t>
            </w:r>
            <w:r w:rsidR="00352F7F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u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compte 73114</w:t>
            </w:r>
            <w:r w:rsidR="007C569A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dans la maquette</w:t>
            </w:r>
          </w:p>
          <w:p w14:paraId="42881E83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6400D857" w14:textId="1D4CBB5B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compte 73118 – Dotation de financement </w:t>
            </w:r>
            <w:r w:rsidR="007C569A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–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MCO</w:t>
            </w:r>
          </w:p>
          <w:p w14:paraId="75439AF9" w14:textId="78E53009" w:rsidR="007C569A" w:rsidRDefault="007C569A" w:rsidP="007C569A">
            <w:pPr>
              <w:rPr>
                <w:rFonts w:ascii="Calibri" w:eastAsiaTheme="minorHAnsi" w:hAnsi="Calibri" w:cs="Calibri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</w:t>
            </w:r>
            <w:r>
              <w:rPr>
                <w:rFonts w:ascii="Calibri" w:eastAsiaTheme="minorHAnsi" w:hAnsi="Calibri"/>
              </w:rPr>
              <w:t xml:space="preserve">731181 : </w:t>
            </w:r>
            <w:proofErr w:type="spellStart"/>
            <w:r>
              <w:rPr>
                <w:rFonts w:ascii="Calibri" w:eastAsiaTheme="minorHAnsi" w:hAnsi="Calibri"/>
              </w:rPr>
              <w:t>Dotations</w:t>
            </w:r>
            <w:proofErr w:type="spellEnd"/>
            <w:r>
              <w:rPr>
                <w:rFonts w:ascii="Calibri" w:eastAsiaTheme="minorHAnsi" w:hAnsi="Calibri"/>
              </w:rPr>
              <w:t xml:space="preserve"> missions </w:t>
            </w:r>
            <w:proofErr w:type="spellStart"/>
            <w:r>
              <w:rPr>
                <w:rFonts w:ascii="Calibri" w:eastAsiaTheme="minorHAnsi" w:hAnsi="Calibri"/>
              </w:rPr>
              <w:t>spécifiques</w:t>
            </w:r>
            <w:proofErr w:type="spellEnd"/>
            <w:r>
              <w:rPr>
                <w:rFonts w:ascii="Calibri" w:eastAsiaTheme="minorHAnsi" w:hAnsi="Calibri"/>
              </w:rPr>
              <w:t xml:space="preserve"> et AC.</w:t>
            </w:r>
          </w:p>
          <w:p w14:paraId="3D9D2669" w14:textId="0B70CE59" w:rsidR="007C569A" w:rsidRDefault="007C569A" w:rsidP="007C569A">
            <w:pPr>
              <w:rPr>
                <w:rFonts w:ascii="Calibri" w:eastAsiaTheme="minorHAnsi" w:hAnsi="Calibri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</w:t>
            </w:r>
            <w:r>
              <w:rPr>
                <w:rFonts w:ascii="Calibri" w:eastAsiaTheme="minorHAnsi" w:hAnsi="Calibri"/>
              </w:rPr>
              <w:t xml:space="preserve">731182 : </w:t>
            </w:r>
            <w:proofErr w:type="spellStart"/>
            <w:r>
              <w:rPr>
                <w:rFonts w:ascii="Calibri" w:eastAsiaTheme="minorHAnsi" w:hAnsi="Calibri"/>
              </w:rPr>
              <w:t>Dotations</w:t>
            </w:r>
            <w:proofErr w:type="spellEnd"/>
            <w:r>
              <w:rPr>
                <w:rFonts w:ascii="Calibri" w:eastAsiaTheme="minorHAnsi" w:hAnsi="Calibri"/>
              </w:rPr>
              <w:t xml:space="preserve"> sur </w:t>
            </w:r>
            <w:proofErr w:type="spellStart"/>
            <w:r>
              <w:rPr>
                <w:rFonts w:ascii="Calibri" w:eastAsiaTheme="minorHAnsi" w:hAnsi="Calibri"/>
              </w:rPr>
              <w:t>objectifs</w:t>
            </w:r>
            <w:proofErr w:type="spellEnd"/>
            <w:r>
              <w:rPr>
                <w:rFonts w:ascii="Calibri" w:eastAsiaTheme="minorHAnsi" w:hAnsi="Calibri"/>
              </w:rPr>
              <w:t xml:space="preserve"> de </w:t>
            </w:r>
            <w:proofErr w:type="spellStart"/>
            <w:r>
              <w:rPr>
                <w:rFonts w:ascii="Calibri" w:eastAsiaTheme="minorHAnsi" w:hAnsi="Calibri"/>
              </w:rPr>
              <w:t>santé</w:t>
            </w:r>
            <w:proofErr w:type="spellEnd"/>
            <w:r>
              <w:rPr>
                <w:rFonts w:ascii="Calibri" w:eastAsiaTheme="minorHAnsi" w:hAnsi="Calibri"/>
              </w:rPr>
              <w:t xml:space="preserve"> </w:t>
            </w:r>
            <w:proofErr w:type="spellStart"/>
            <w:r>
              <w:rPr>
                <w:rFonts w:ascii="Calibri" w:eastAsiaTheme="minorHAnsi" w:hAnsi="Calibri"/>
              </w:rPr>
              <w:t>publique</w:t>
            </w:r>
            <w:proofErr w:type="spellEnd"/>
            <w:r>
              <w:rPr>
                <w:rFonts w:ascii="Calibri" w:eastAsiaTheme="minorHAnsi" w:hAnsi="Calibri"/>
              </w:rPr>
              <w:t xml:space="preserve"> </w:t>
            </w:r>
          </w:p>
          <w:p w14:paraId="5525A091" w14:textId="77777777" w:rsidR="007C569A" w:rsidRPr="00FD6D30" w:rsidRDefault="007C569A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CE83E0C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A092595" w14:textId="59C9831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Onglets </w:t>
            </w:r>
            <w:proofErr w:type="spellStart"/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Projection_detaillee_CRPP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0E48693C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34EE76B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des « dont » suivants :</w:t>
            </w:r>
          </w:p>
          <w:p w14:paraId="50E600AE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tbl>
            <w:tblPr>
              <w:tblW w:w="70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73"/>
            </w:tblGrid>
            <w:tr w:rsidR="00C2766E" w:rsidRPr="00275A14" w14:paraId="20C78FC2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0CE4E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60212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Spécialités pharmaceutiques avec AMM inscrites sur la liste prévue à l'article L.162-22-7 et L162-32-6 du CSS pour le SMR</w:t>
                  </w:r>
                </w:p>
              </w:tc>
            </w:tr>
            <w:tr w:rsidR="00C2766E" w:rsidRPr="00275A14" w14:paraId="6FA1B184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2BE0D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60213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Spécialités pharmaceutiques sous AAP-AAC-CPC</w:t>
                  </w:r>
                </w:p>
              </w:tc>
            </w:tr>
            <w:tr w:rsidR="00C2766E" w:rsidRPr="00275A14" w14:paraId="667AC63A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40905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602261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DMI figurant sur la liste mentionnée à l'article L.162-22-7 du CSS</w:t>
                  </w:r>
                </w:p>
              </w:tc>
            </w:tr>
            <w:tr w:rsidR="00C2766E" w:rsidRPr="00275A14" w14:paraId="7C5C8E6C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38EDE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6061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Fournitures non stockables</w:t>
                  </w:r>
                </w:p>
              </w:tc>
            </w:tr>
            <w:tr w:rsidR="00C2766E" w:rsidRPr="00275A14" w14:paraId="32676BB6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0B2C9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731153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roduits des médicaments facturés en sus des séjours - SMR</w:t>
                  </w:r>
                </w:p>
              </w:tc>
            </w:tr>
            <w:tr w:rsidR="00C2766E" w:rsidRPr="00275A14" w14:paraId="30236815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9C02C7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73213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S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pécialités coûteuses et très coûteuses</w:t>
                  </w:r>
                </w:p>
              </w:tc>
            </w:tr>
            <w:tr w:rsidR="00C2766E" w:rsidRPr="00275A14" w14:paraId="548B98BA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CB4A9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7332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roduits des prestations au titre de l'aide médicale de l'Etat (AME)</w:t>
                  </w:r>
                </w:p>
              </w:tc>
            </w:tr>
            <w:tr w:rsidR="00C2766E" w:rsidRPr="00275A14" w14:paraId="65D0790F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96B5FD" w14:textId="77777777" w:rsidR="00C2766E" w:rsidRPr="00C7579B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4"/>
                      <w:szCs w:val="14"/>
                      <w:lang w:val="fr-FR" w:eastAsia="fr-FR"/>
                    </w:rPr>
                  </w:pPr>
                </w:p>
              </w:tc>
            </w:tr>
          </w:tbl>
          <w:p w14:paraId="60EB9BDE" w14:textId="5783635C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14FF830E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C827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187BB934" w14:textId="6A712CAD" w:rsidR="00C2766E" w:rsidRPr="00FD6D30" w:rsidRDefault="009212F9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 synthétique et p</w:t>
            </w:r>
            <w:r w:rsidR="00C43F4C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rojection synthétique CRP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D22E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5D2EAFB" w14:textId="6E883FC0" w:rsidR="00C2766E" w:rsidRPr="00FD6D30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du budget I – Centres de santé</w:t>
            </w:r>
          </w:p>
          <w:p w14:paraId="5D7CBA2F" w14:textId="55D32B51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56FDF146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C9E6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39B03A3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 TFP et CAF</w:t>
            </w:r>
          </w:p>
          <w:p w14:paraId="07416E14" w14:textId="2B3F39D9" w:rsidR="00C43F4C" w:rsidRPr="00C7579B" w:rsidRDefault="00C43F4C" w:rsidP="00A761DF">
            <w:pP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7652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7428A990" w14:textId="26EC328C" w:rsidR="00AA33D8" w:rsidRPr="00FD6D30" w:rsidRDefault="00AA33D8" w:rsidP="00AA33D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NC</w:t>
            </w:r>
          </w:p>
        </w:tc>
      </w:tr>
      <w:tr w:rsidR="00D87392" w:rsidRPr="003B7603" w14:paraId="5E6A885D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8956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C66A90D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Indic Prix </w:t>
            </w:r>
          </w:p>
          <w:p w14:paraId="6DFC5157" w14:textId="2C33B1BF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Indic Volume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B0E" w14:textId="478F8098" w:rsidR="00D87392" w:rsidRPr="00FD6D30" w:rsidRDefault="00D87392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482EC71" w14:textId="7FD17A7C" w:rsidR="007E068C" w:rsidRDefault="00AA33D8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Modification des libellés</w:t>
            </w:r>
            <w:r w:rsidRPr="00C276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12F6B1E3" w14:textId="77777777" w:rsidR="00C2766E" w:rsidRPr="00FD6D30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</w:p>
          <w:p w14:paraId="24CC99D7" w14:textId="09169B62" w:rsidR="00830E2B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du compte 64238 – praticiens associés temporaires recrutés par contrat</w:t>
            </w:r>
          </w:p>
          <w:p w14:paraId="0026E6E8" w14:textId="77777777" w:rsidR="00C2766E" w:rsidRPr="00C7579B" w:rsidRDefault="00C2766E" w:rsidP="00B3160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  <w:p w14:paraId="0FE44B2D" w14:textId="77777777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Modification des libellés des comptes :</w:t>
            </w:r>
          </w:p>
          <w:p w14:paraId="7D2E3792" w14:textId="4424C68D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64222 &amp; 64223 Anciens praticiens contractuels et nouveaux praticiens contractuels en CDI</w:t>
            </w:r>
          </w:p>
          <w:p w14:paraId="65601DD5" w14:textId="18EEAEA9" w:rsidR="00C2766E" w:rsidRPr="00FD6D30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64231 &amp; 64237 (contrat &gt; 3 mois) Anciens praticiens contractuels et nouveaux praticiens contractuels en CDD</w:t>
            </w:r>
          </w:p>
          <w:p w14:paraId="03C95911" w14:textId="2DB56007" w:rsidR="00B31600" w:rsidRPr="00C7579B" w:rsidRDefault="00B31600" w:rsidP="00B31600">
            <w:pPr>
              <w:jc w:val="both"/>
              <w:rPr>
                <w:rFonts w:eastAsia="Times New Roman"/>
                <w:color w:val="000000"/>
                <w:sz w:val="14"/>
                <w:szCs w:val="14"/>
                <w:lang w:val="fr-FR" w:eastAsia="fr-FR"/>
              </w:rPr>
            </w:pPr>
          </w:p>
        </w:tc>
      </w:tr>
      <w:tr w:rsidR="00B44358" w:rsidRPr="003B7603" w14:paraId="23306B44" w14:textId="77777777" w:rsidTr="00C2766E">
        <w:tc>
          <w:tcPr>
            <w:tcW w:w="2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BAC1" w14:textId="77777777" w:rsidR="00B44358" w:rsidRDefault="00B44358" w:rsidP="00A761DF">
            <w:pPr>
              <w:rPr>
                <w:rFonts w:eastAsia="Times New Roman"/>
                <w:color w:val="000000"/>
                <w:lang w:val="fr-FR" w:eastAsia="fr-FR"/>
              </w:rPr>
            </w:pPr>
          </w:p>
        </w:tc>
        <w:tc>
          <w:tcPr>
            <w:tcW w:w="7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74F4" w14:textId="77777777" w:rsidR="00B44358" w:rsidRDefault="00B44358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9B2946" w:rsidRPr="003B7603" w14:paraId="4B318ABF" w14:textId="77777777" w:rsidTr="00C2766E">
        <w:tc>
          <w:tcPr>
            <w:tcW w:w="10376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B8E8" w14:textId="77777777" w:rsidR="009B2946" w:rsidRPr="003B7603" w:rsidRDefault="009B2946" w:rsidP="009212F9">
            <w:pPr>
              <w:pStyle w:val="Paragraphedeliste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</w:pP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 xml:space="preserve">Évolutions non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r</w:t>
            </w: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églementaires</w:t>
            </w:r>
          </w:p>
          <w:p w14:paraId="3F94D163" w14:textId="77777777" w:rsidR="009B2946" w:rsidRDefault="009B2946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B44358" w:rsidRPr="003B7603" w14:paraId="5AA610DE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5F34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59ADCEA" w14:textId="2247EE65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4715378B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5462F3E" w14:textId="6DA171E2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F527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08F2381" w14:textId="6F6AC200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749BCAF3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474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DB516E5" w14:textId="54CD734B" w:rsidR="00B44358" w:rsidRPr="00FD6D30" w:rsidRDefault="006819C6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Contrôles</w:t>
            </w:r>
          </w:p>
          <w:p w14:paraId="30989EA4" w14:textId="5AD5F8C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05A4" w14:textId="65BE7372" w:rsidR="00B44358" w:rsidRPr="00FD6D30" w:rsidRDefault="00B44358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3FC7C24" w14:textId="7BDAE5B4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Contrôle de la masse salariale :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prise en compte des comptes 6412 et 6427 dans le contrôle de la masse salariale.</w:t>
            </w:r>
          </w:p>
          <w:p w14:paraId="2CA3D20B" w14:textId="77777777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0BFEA28" w14:textId="7AA417D3" w:rsidR="006819C6" w:rsidRPr="00F9558E" w:rsidRDefault="006819C6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Ajout d’un nouve</w:t>
            </w:r>
            <w:r w:rsidR="00C7579B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au</w:t>
            </w: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 contrôle 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bloquant </w:t>
            </w:r>
            <w:r w:rsidR="0059796E"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la validation </w:t>
            </w:r>
            <w:r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:</w:t>
            </w:r>
            <w:r w:rsidR="00F9558E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c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ontrôle fondamental </w:t>
            </w:r>
            <w:r w:rsidR="00596C0E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2B176127" w14:textId="77777777" w:rsidR="00F9558E" w:rsidRPr="00F9558E" w:rsidRDefault="00F9558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7F62649" w14:textId="40DCCA43" w:rsidR="00B31600" w:rsidRDefault="00B31600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Vérification de </w:t>
            </w:r>
            <w:r w:rsidR="00596C0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l’exhaustivité de la saisie des « dont » </w:t>
            </w:r>
            <w:r w:rsidR="00C7579B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présents </w:t>
            </w:r>
            <w:r w:rsidR="00596C0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dans l’onglet </w:t>
            </w:r>
            <w:proofErr w:type="spellStart"/>
            <w:r w:rsidR="00596C0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projection_detaillee_CRPP</w:t>
            </w:r>
            <w:proofErr w:type="spellEnd"/>
          </w:p>
          <w:p w14:paraId="75F009C0" w14:textId="77777777" w:rsidR="00596C0E" w:rsidRDefault="00596C0E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Une valeur (égale ou supérieure à zéro) doit obligatoirement être saisie dans le tableau pour pouvoir vérifier le contrôle.</w:t>
            </w:r>
          </w:p>
          <w:p w14:paraId="6A0ABECF" w14:textId="64A18B06" w:rsidR="00596C0E" w:rsidRPr="00FD6D30" w:rsidRDefault="00596C0E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275A14" w:rsidRPr="003B7603" w14:paraId="45EC280C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611" w14:textId="77777777" w:rsidR="00275A14" w:rsidRDefault="00275A14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FE11B6D" w14:textId="44B662A5" w:rsidR="00275A14" w:rsidRPr="00FD6D30" w:rsidRDefault="00275A14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Projection_detaillee_CRPP</w:t>
            </w:r>
            <w:proofErr w:type="spellEnd"/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2880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A95CC88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Ajout de formules pour reprendre automatiquement les données de l’EPRD exécutoire issues de l’onglet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Suivi_CRP</w:t>
            </w:r>
            <w:proofErr w:type="spellEnd"/>
          </w:p>
          <w:p w14:paraId="3D5B7520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9E5F4C6" w14:textId="6EAA6DF5" w:rsidR="00275A14" w:rsidRPr="00FD6D30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</w:tbl>
    <w:p w14:paraId="17D3DA80" w14:textId="77777777" w:rsidR="00EC6050" w:rsidRPr="003B7603" w:rsidRDefault="00EC6050" w:rsidP="00EC6050">
      <w:pPr>
        <w:pStyle w:val="Paragraphedeliste"/>
        <w:widowControl/>
        <w:autoSpaceDE/>
        <w:autoSpaceDN/>
        <w:ind w:left="502" w:firstLine="0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4B7B987A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300A6D6C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sectPr w:rsidR="003C7B27" w:rsidRPr="003B7603" w:rsidSect="00C27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624" w:footer="98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BCC0" w14:textId="77777777" w:rsidR="00216889" w:rsidRDefault="007F72B5">
      <w:r>
        <w:separator/>
      </w:r>
    </w:p>
  </w:endnote>
  <w:endnote w:type="continuationSeparator" w:id="0">
    <w:p w14:paraId="64FC627C" w14:textId="77777777" w:rsidR="00216889" w:rsidRDefault="007F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74BB" w14:textId="77777777" w:rsidR="00F9558E" w:rsidRDefault="00F955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4BDE" w14:textId="77777777" w:rsidR="00F9558E" w:rsidRDefault="00F9558E">
    <w:pPr>
      <w:pStyle w:val="Pieddepage"/>
      <w:jc w:val="center"/>
      <w:rPr>
        <w:caps/>
        <w:color w:val="2B3BB2" w:themeColor="accent1"/>
      </w:rPr>
    </w:pPr>
    <w:r>
      <w:rPr>
        <w:caps/>
        <w:color w:val="2B3BB2" w:themeColor="accent1"/>
      </w:rPr>
      <w:fldChar w:fldCharType="begin"/>
    </w:r>
    <w:r>
      <w:rPr>
        <w:caps/>
        <w:color w:val="2B3BB2" w:themeColor="accent1"/>
      </w:rPr>
      <w:instrText>PAGE   \* MERGEFORMAT</w:instrText>
    </w:r>
    <w:r>
      <w:rPr>
        <w:caps/>
        <w:color w:val="2B3BB2" w:themeColor="accent1"/>
      </w:rPr>
      <w:fldChar w:fldCharType="separate"/>
    </w:r>
    <w:r>
      <w:rPr>
        <w:caps/>
        <w:color w:val="2B3BB2" w:themeColor="accent1"/>
        <w:lang w:val="fr-FR"/>
      </w:rPr>
      <w:t>2</w:t>
    </w:r>
    <w:r>
      <w:rPr>
        <w:caps/>
        <w:color w:val="2B3BB2" w:themeColor="accent1"/>
      </w:rPr>
      <w:fldChar w:fldCharType="end"/>
    </w:r>
  </w:p>
  <w:p w14:paraId="39D059A5" w14:textId="77777777" w:rsidR="00F9558E" w:rsidRDefault="00F955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16E7" w14:textId="77777777" w:rsidR="00F9558E" w:rsidRDefault="00F955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5F76" w14:textId="77777777" w:rsidR="00216889" w:rsidRDefault="007F72B5">
      <w:r>
        <w:separator/>
      </w:r>
    </w:p>
  </w:footnote>
  <w:footnote w:type="continuationSeparator" w:id="0">
    <w:p w14:paraId="03804EE1" w14:textId="77777777" w:rsidR="00216889" w:rsidRDefault="007F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F20" w14:textId="77777777" w:rsidR="00F9558E" w:rsidRDefault="00F955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68AD" w14:textId="77777777" w:rsidR="00F9558E" w:rsidRDefault="00F955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72B8" w14:textId="77777777" w:rsidR="00F9558E" w:rsidRDefault="00F95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082"/>
    <w:multiLevelType w:val="hybridMultilevel"/>
    <w:tmpl w:val="9CCC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DCD"/>
    <w:multiLevelType w:val="hybridMultilevel"/>
    <w:tmpl w:val="5BA65CCC"/>
    <w:lvl w:ilvl="0" w:tplc="5B14A89A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C7849B8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E8ADDDA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96CA6914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6DEDEEE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000F5F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BD4D6DE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9FCB03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99E2BC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 w15:restartNumberingAfterBreak="0">
    <w:nsid w:val="2D3D4B93"/>
    <w:multiLevelType w:val="hybridMultilevel"/>
    <w:tmpl w:val="320EBC50"/>
    <w:lvl w:ilvl="0" w:tplc="E8103A52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color w:val="92D04F"/>
        <w:w w:val="100"/>
        <w:sz w:val="36"/>
        <w:szCs w:val="36"/>
      </w:rPr>
    </w:lvl>
    <w:lvl w:ilvl="1" w:tplc="B6B4CC2E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024EB60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8A7A1594">
      <w:numFmt w:val="bullet"/>
      <w:lvlText w:val="•"/>
      <w:lvlJc w:val="left"/>
      <w:pPr>
        <w:ind w:left="3277" w:hanging="360"/>
      </w:pPr>
      <w:rPr>
        <w:rFonts w:hint="default"/>
      </w:rPr>
    </w:lvl>
    <w:lvl w:ilvl="4" w:tplc="0D921484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63E019D8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D780D140"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1C22B6C8"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95820936">
      <w:numFmt w:val="bullet"/>
      <w:lvlText w:val="•"/>
      <w:lvlJc w:val="left"/>
      <w:pPr>
        <w:ind w:left="8265" w:hanging="360"/>
      </w:pPr>
      <w:rPr>
        <w:rFonts w:hint="default"/>
      </w:rPr>
    </w:lvl>
  </w:abstractNum>
  <w:abstractNum w:abstractNumId="3" w15:restartNumberingAfterBreak="0">
    <w:nsid w:val="2D402B6B"/>
    <w:multiLevelType w:val="hybridMultilevel"/>
    <w:tmpl w:val="C1BC018E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E0F3C"/>
    <w:multiLevelType w:val="hybridMultilevel"/>
    <w:tmpl w:val="C6CC04E4"/>
    <w:lvl w:ilvl="0" w:tplc="09FA3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6FB6"/>
    <w:multiLevelType w:val="hybridMultilevel"/>
    <w:tmpl w:val="13120210"/>
    <w:lvl w:ilvl="0" w:tplc="7C5E8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1C6"/>
    <w:multiLevelType w:val="hybridMultilevel"/>
    <w:tmpl w:val="5BA4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F6531"/>
    <w:multiLevelType w:val="hybridMultilevel"/>
    <w:tmpl w:val="8820C968"/>
    <w:lvl w:ilvl="0" w:tplc="5948B770">
      <w:start w:val="1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D10A60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D9AC63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8CC68C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96AE034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623053B4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5CA259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DEABF6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4602355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8" w15:restartNumberingAfterBreak="0">
    <w:nsid w:val="57B500DC"/>
    <w:multiLevelType w:val="hybridMultilevel"/>
    <w:tmpl w:val="C1BC018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415025"/>
    <w:multiLevelType w:val="hybridMultilevel"/>
    <w:tmpl w:val="D6200428"/>
    <w:lvl w:ilvl="0" w:tplc="B27CEA0A">
      <w:start w:val="5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2B0E0C3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87D8F52E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08C08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7682E90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5D0DCB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6C642D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63124200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792C316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72975A99"/>
    <w:multiLevelType w:val="hybridMultilevel"/>
    <w:tmpl w:val="9A6EF70E"/>
    <w:lvl w:ilvl="0" w:tplc="C130E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A282A"/>
    <w:multiLevelType w:val="hybridMultilevel"/>
    <w:tmpl w:val="2D080BC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11"/>
    <w:rsid w:val="000058D2"/>
    <w:rsid w:val="00042999"/>
    <w:rsid w:val="0008372A"/>
    <w:rsid w:val="00084EC3"/>
    <w:rsid w:val="000B7A5F"/>
    <w:rsid w:val="000E40F6"/>
    <w:rsid w:val="000F0AB3"/>
    <w:rsid w:val="001147F9"/>
    <w:rsid w:val="00124D18"/>
    <w:rsid w:val="001712D1"/>
    <w:rsid w:val="00172F5C"/>
    <w:rsid w:val="00175DFD"/>
    <w:rsid w:val="0018391D"/>
    <w:rsid w:val="001A7BC2"/>
    <w:rsid w:val="001E27F2"/>
    <w:rsid w:val="001E6ABD"/>
    <w:rsid w:val="001F4F5C"/>
    <w:rsid w:val="00205144"/>
    <w:rsid w:val="00216109"/>
    <w:rsid w:val="00216889"/>
    <w:rsid w:val="00231FFF"/>
    <w:rsid w:val="00265179"/>
    <w:rsid w:val="00275A14"/>
    <w:rsid w:val="00281E87"/>
    <w:rsid w:val="00293F11"/>
    <w:rsid w:val="002A068B"/>
    <w:rsid w:val="002A307D"/>
    <w:rsid w:val="002D3EFC"/>
    <w:rsid w:val="002E5CF4"/>
    <w:rsid w:val="002F3EAF"/>
    <w:rsid w:val="003201CC"/>
    <w:rsid w:val="00345D14"/>
    <w:rsid w:val="003516D5"/>
    <w:rsid w:val="00352F7F"/>
    <w:rsid w:val="003950E7"/>
    <w:rsid w:val="003B7603"/>
    <w:rsid w:val="003C7B27"/>
    <w:rsid w:val="003E1FC2"/>
    <w:rsid w:val="003E2692"/>
    <w:rsid w:val="003F5562"/>
    <w:rsid w:val="00435125"/>
    <w:rsid w:val="00451B21"/>
    <w:rsid w:val="00460A1B"/>
    <w:rsid w:val="00480D9A"/>
    <w:rsid w:val="00484097"/>
    <w:rsid w:val="0049344C"/>
    <w:rsid w:val="004E5760"/>
    <w:rsid w:val="00500A38"/>
    <w:rsid w:val="00505D7F"/>
    <w:rsid w:val="005170FD"/>
    <w:rsid w:val="005363E6"/>
    <w:rsid w:val="00542F90"/>
    <w:rsid w:val="00545725"/>
    <w:rsid w:val="00573BE3"/>
    <w:rsid w:val="005876E4"/>
    <w:rsid w:val="00596C0E"/>
    <w:rsid w:val="0059796E"/>
    <w:rsid w:val="005B6FB2"/>
    <w:rsid w:val="005F720D"/>
    <w:rsid w:val="005F7A0E"/>
    <w:rsid w:val="00616390"/>
    <w:rsid w:val="006270A6"/>
    <w:rsid w:val="006519C1"/>
    <w:rsid w:val="006625CB"/>
    <w:rsid w:val="006819C6"/>
    <w:rsid w:val="006846B9"/>
    <w:rsid w:val="006A5427"/>
    <w:rsid w:val="006D769B"/>
    <w:rsid w:val="00731533"/>
    <w:rsid w:val="00735585"/>
    <w:rsid w:val="00746CD1"/>
    <w:rsid w:val="00756DA4"/>
    <w:rsid w:val="0076441F"/>
    <w:rsid w:val="007A075D"/>
    <w:rsid w:val="007C569A"/>
    <w:rsid w:val="007D5BE2"/>
    <w:rsid w:val="007E068C"/>
    <w:rsid w:val="007E2CE6"/>
    <w:rsid w:val="007E6BBB"/>
    <w:rsid w:val="007F1CAE"/>
    <w:rsid w:val="007F72B5"/>
    <w:rsid w:val="00804A8E"/>
    <w:rsid w:val="00821663"/>
    <w:rsid w:val="008263EB"/>
    <w:rsid w:val="00826FFD"/>
    <w:rsid w:val="00830248"/>
    <w:rsid w:val="00830E2B"/>
    <w:rsid w:val="00856758"/>
    <w:rsid w:val="00894162"/>
    <w:rsid w:val="008A392A"/>
    <w:rsid w:val="008A4E74"/>
    <w:rsid w:val="008D73EC"/>
    <w:rsid w:val="008E00DE"/>
    <w:rsid w:val="008F3B30"/>
    <w:rsid w:val="009009E3"/>
    <w:rsid w:val="00907985"/>
    <w:rsid w:val="009212F9"/>
    <w:rsid w:val="009247AE"/>
    <w:rsid w:val="00937B06"/>
    <w:rsid w:val="0099262E"/>
    <w:rsid w:val="009A0391"/>
    <w:rsid w:val="009A3634"/>
    <w:rsid w:val="009B2946"/>
    <w:rsid w:val="009B3E2E"/>
    <w:rsid w:val="009C1028"/>
    <w:rsid w:val="009C12D9"/>
    <w:rsid w:val="009D26A8"/>
    <w:rsid w:val="009E3F6F"/>
    <w:rsid w:val="009E7993"/>
    <w:rsid w:val="00A02ECE"/>
    <w:rsid w:val="00A03096"/>
    <w:rsid w:val="00A232F6"/>
    <w:rsid w:val="00A309E3"/>
    <w:rsid w:val="00A323E0"/>
    <w:rsid w:val="00A62000"/>
    <w:rsid w:val="00A761DF"/>
    <w:rsid w:val="00A80932"/>
    <w:rsid w:val="00A91BC9"/>
    <w:rsid w:val="00A953C0"/>
    <w:rsid w:val="00AA33D8"/>
    <w:rsid w:val="00AC337A"/>
    <w:rsid w:val="00AD4A3D"/>
    <w:rsid w:val="00B22EFD"/>
    <w:rsid w:val="00B31600"/>
    <w:rsid w:val="00B32032"/>
    <w:rsid w:val="00B4380A"/>
    <w:rsid w:val="00B44358"/>
    <w:rsid w:val="00B72DBB"/>
    <w:rsid w:val="00BC5C48"/>
    <w:rsid w:val="00C2766E"/>
    <w:rsid w:val="00C37831"/>
    <w:rsid w:val="00C43F4C"/>
    <w:rsid w:val="00C54472"/>
    <w:rsid w:val="00C7579B"/>
    <w:rsid w:val="00C8190B"/>
    <w:rsid w:val="00CA71D8"/>
    <w:rsid w:val="00CB766F"/>
    <w:rsid w:val="00CE2923"/>
    <w:rsid w:val="00CF10A1"/>
    <w:rsid w:val="00D00E34"/>
    <w:rsid w:val="00D13036"/>
    <w:rsid w:val="00D2029B"/>
    <w:rsid w:val="00D248C8"/>
    <w:rsid w:val="00D42AED"/>
    <w:rsid w:val="00D84BD3"/>
    <w:rsid w:val="00D87392"/>
    <w:rsid w:val="00DB1647"/>
    <w:rsid w:val="00DE4328"/>
    <w:rsid w:val="00DF7874"/>
    <w:rsid w:val="00E1012E"/>
    <w:rsid w:val="00E369F6"/>
    <w:rsid w:val="00E64C5A"/>
    <w:rsid w:val="00E91ABE"/>
    <w:rsid w:val="00EB53C0"/>
    <w:rsid w:val="00EC42A3"/>
    <w:rsid w:val="00EC6050"/>
    <w:rsid w:val="00ED3284"/>
    <w:rsid w:val="00EF7C93"/>
    <w:rsid w:val="00F4146D"/>
    <w:rsid w:val="00F63C99"/>
    <w:rsid w:val="00F9558E"/>
    <w:rsid w:val="00FC60D2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585E"/>
  <w15:docId w15:val="{9FF4E580-A47F-41F0-86C7-BACC941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42"/>
      <w:ind w:left="112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48"/>
      <w:ind w:left="831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1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57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725"/>
    <w:rPr>
      <w:rFonts w:ascii="Segoe UI" w:eastAsia="Arial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5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7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725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5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5725"/>
    <w:rPr>
      <w:rFonts w:ascii="Arial" w:eastAsia="Arial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69B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6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ATIH rouge">
  <a:themeElements>
    <a:clrScheme name="ATIH_Couleurs">
      <a:dk1>
        <a:sysClr val="windowText" lastClr="000000"/>
      </a:dk1>
      <a:lt1>
        <a:sysClr val="window" lastClr="FFFFFF"/>
      </a:lt1>
      <a:dk2>
        <a:srgbClr val="FF5A64"/>
      </a:dk2>
      <a:lt2>
        <a:srgbClr val="F6F3F0"/>
      </a:lt2>
      <a:accent1>
        <a:srgbClr val="2B3BB2"/>
      </a:accent1>
      <a:accent2>
        <a:srgbClr val="9B9BC8"/>
      </a:accent2>
      <a:accent3>
        <a:srgbClr val="FF9B91"/>
      </a:accent3>
      <a:accent4>
        <a:srgbClr val="FFDCC8"/>
      </a:accent4>
      <a:accent5>
        <a:srgbClr val="AADCBE"/>
      </a:accent5>
      <a:accent6>
        <a:srgbClr val="FFAF00"/>
      </a:accent6>
      <a:hlink>
        <a:srgbClr val="FF5A64"/>
      </a:hlink>
      <a:folHlink>
        <a:srgbClr val="FF5A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36000" tIns="0" rIns="3600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ème ATIH rouge" id="{B70C557D-8B80-4489-A536-C6BD76E2F719}" vid="{411F6A85-4E09-40EA-97F0-8536F59EB9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AE85-5EB4-404B-A5F9-93F4BB5F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Evolutions RIA 2022</vt:lpstr>
    </vt:vector>
  </TitlesOfParts>
  <Company>ATIH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Evolutions RIA 2022</dc:title>
  <dc:creator>Equipe Finance ATIH</dc:creator>
  <cp:lastModifiedBy>Gaël PRIOL</cp:lastModifiedBy>
  <cp:revision>18</cp:revision>
  <cp:lastPrinted>2024-01-10T10:11:00Z</cp:lastPrinted>
  <dcterms:created xsi:type="dcterms:W3CDTF">2023-09-04T14:35:00Z</dcterms:created>
  <dcterms:modified xsi:type="dcterms:W3CDTF">2025-07-21T14:00:00Z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2018-10-09T00:00:00Z</vt:filetime>
  </property>
</Properties>
</file>